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B7194F" w14:textId="5895A054" w:rsidR="007B5A5A" w:rsidRDefault="007B5A5A" w:rsidP="007B5A5A">
      <w:pPr>
        <w:pStyle w:val="CRCoverPage"/>
        <w:tabs>
          <w:tab w:val="right" w:pos="9639"/>
        </w:tabs>
        <w:spacing w:after="0"/>
        <w:rPr>
          <w:b/>
          <w:i/>
          <w:noProof/>
          <w:sz w:val="28"/>
        </w:rPr>
      </w:pPr>
      <w:bookmarkStart w:id="0" w:name="_Hlk98921038"/>
      <w:bookmarkStart w:id="1" w:name="_Ref399006623"/>
      <w:bookmarkStart w:id="2" w:name="_Toc92513360"/>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RAN4</w:t>
      </w:r>
      <w:r>
        <w:rPr>
          <w:b/>
          <w:noProof/>
          <w:sz w:val="24"/>
        </w:rPr>
        <w:fldChar w:fldCharType="end"/>
      </w:r>
      <w:r>
        <w:rPr>
          <w:b/>
          <w:noProof/>
          <w:sz w:val="24"/>
        </w:rPr>
        <w:t xml:space="preserve"> WG4 Meeting #104</w:t>
      </w:r>
      <w:r>
        <w:rPr>
          <w:rFonts w:hint="eastAsia"/>
          <w:b/>
          <w:noProof/>
          <w:sz w:val="24"/>
          <w:lang w:eastAsia="zh-CN"/>
        </w:rPr>
        <w:t>-e</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R4-</w:t>
      </w:r>
      <w:r>
        <w:rPr>
          <w:b/>
          <w:i/>
          <w:noProof/>
          <w:sz w:val="28"/>
        </w:rPr>
        <w:fldChar w:fldCharType="end"/>
      </w:r>
      <w:r>
        <w:rPr>
          <w:b/>
          <w:i/>
          <w:noProof/>
          <w:sz w:val="28"/>
        </w:rPr>
        <w:t>2</w:t>
      </w:r>
      <w:r>
        <w:rPr>
          <w:b/>
          <w:i/>
          <w:noProof/>
          <w:sz w:val="28"/>
          <w:lang w:eastAsia="zh-CN"/>
        </w:rPr>
        <w:t>2</w:t>
      </w:r>
      <w:r w:rsidR="00046F46">
        <w:rPr>
          <w:b/>
          <w:i/>
          <w:noProof/>
          <w:sz w:val="28"/>
          <w:lang w:eastAsia="zh-CN"/>
        </w:rPr>
        <w:t>13032</w:t>
      </w:r>
    </w:p>
    <w:p w14:paraId="5152EB87" w14:textId="77777777" w:rsidR="007B5A5A" w:rsidRDefault="007B5A5A" w:rsidP="007B5A5A">
      <w:pPr>
        <w:pStyle w:val="CRCoverPage"/>
        <w:outlineLvl w:val="0"/>
        <w:rPr>
          <w:b/>
          <w:noProof/>
          <w:sz w:val="24"/>
        </w:rPr>
      </w:pPr>
      <w:r>
        <w:rPr>
          <w:b/>
          <w:noProof/>
          <w:sz w:val="24"/>
        </w:rPr>
        <w:t xml:space="preserve">Electronic meeting, </w:t>
      </w:r>
      <w:r>
        <w:rPr>
          <w:rFonts w:cs="Arial"/>
          <w:b/>
          <w:sz w:val="24"/>
          <w:szCs w:val="28"/>
          <w:lang w:val="en-US" w:eastAsia="zh-CN"/>
        </w:rPr>
        <w:t>A</w:t>
      </w:r>
      <w:r>
        <w:rPr>
          <w:rFonts w:cs="Arial" w:hint="eastAsia"/>
          <w:b/>
          <w:sz w:val="24"/>
          <w:szCs w:val="28"/>
          <w:lang w:val="en-US" w:eastAsia="zh-CN"/>
        </w:rPr>
        <w:t>ugust</w:t>
      </w:r>
      <w:r>
        <w:rPr>
          <w:rFonts w:cs="Arial"/>
          <w:b/>
          <w:sz w:val="24"/>
          <w:szCs w:val="28"/>
          <w:lang w:val="en-US"/>
        </w:rPr>
        <w:t xml:space="preserve"> 15 – </w:t>
      </w:r>
      <w:r>
        <w:rPr>
          <w:rFonts w:cs="Arial"/>
          <w:b/>
          <w:sz w:val="24"/>
          <w:szCs w:val="28"/>
          <w:lang w:val="en-US" w:eastAsia="zh-CN"/>
        </w:rPr>
        <w:t>A</w:t>
      </w:r>
      <w:r>
        <w:rPr>
          <w:rFonts w:cs="Arial" w:hint="eastAsia"/>
          <w:b/>
          <w:sz w:val="24"/>
          <w:szCs w:val="28"/>
          <w:lang w:val="en-US" w:eastAsia="zh-CN"/>
        </w:rPr>
        <w:t>ugust</w:t>
      </w:r>
      <w:r>
        <w:rPr>
          <w:rFonts w:cs="Arial"/>
          <w:b/>
          <w:sz w:val="24"/>
          <w:szCs w:val="28"/>
          <w:lang w:val="en-US"/>
        </w:rPr>
        <w:t xml:space="preserve"> 26</w:t>
      </w:r>
      <w:r w:rsidRPr="001D2FBF">
        <w:rPr>
          <w:rFonts w:cs="Arial"/>
          <w:b/>
          <w:sz w:val="24"/>
          <w:szCs w:val="28"/>
          <w:lang w:val="en-US"/>
        </w:rPr>
        <w:t>, 202</w:t>
      </w:r>
      <w:r>
        <w:rPr>
          <w:rFonts w:cs="Arial"/>
          <w:b/>
          <w:sz w:val="24"/>
          <w:szCs w:val="28"/>
          <w:lang w:val="en-US"/>
        </w:rPr>
        <w:t>2</w:t>
      </w:r>
    </w:p>
    <w:bookmarkEnd w:id="0"/>
    <w:p w14:paraId="65912719" w14:textId="77777777" w:rsidR="00174A69" w:rsidRPr="007B5A5A" w:rsidRDefault="00174A69" w:rsidP="00DC62EC">
      <w:pPr>
        <w:pBdr>
          <w:top w:val="single" w:sz="4" w:space="1" w:color="auto"/>
        </w:pBdr>
        <w:spacing w:after="0"/>
        <w:jc w:val="both"/>
        <w:rPr>
          <w:b/>
          <w:kern w:val="2"/>
          <w:sz w:val="16"/>
          <w:szCs w:val="16"/>
        </w:rPr>
      </w:pPr>
    </w:p>
    <w:p w14:paraId="0C95E558" w14:textId="6BC91698" w:rsidR="00174A69" w:rsidRPr="00086BFD" w:rsidRDefault="00174A69" w:rsidP="00DC62EC">
      <w:pPr>
        <w:tabs>
          <w:tab w:val="left" w:pos="1985"/>
        </w:tabs>
        <w:jc w:val="both"/>
        <w:rPr>
          <w:b/>
          <w:sz w:val="22"/>
        </w:rPr>
      </w:pPr>
      <w:r w:rsidRPr="00086BFD">
        <w:rPr>
          <w:b/>
          <w:sz w:val="22"/>
        </w:rPr>
        <w:t xml:space="preserve">Source: </w:t>
      </w:r>
      <w:r w:rsidRPr="00086BFD">
        <w:rPr>
          <w:b/>
          <w:sz w:val="22"/>
        </w:rPr>
        <w:tab/>
      </w:r>
      <w:r w:rsidR="00F62E9E">
        <w:rPr>
          <w:b/>
          <w:sz w:val="22"/>
        </w:rPr>
        <w:t>vivo</w:t>
      </w:r>
    </w:p>
    <w:p w14:paraId="3B7F827F" w14:textId="1C3C7EC3" w:rsidR="00F62E9E" w:rsidRPr="00904494" w:rsidRDefault="00174A69" w:rsidP="00DC62EC">
      <w:pPr>
        <w:ind w:left="1985" w:hanging="1985"/>
        <w:jc w:val="both"/>
        <w:rPr>
          <w:sz w:val="22"/>
        </w:rPr>
      </w:pPr>
      <w:r w:rsidRPr="00086BFD">
        <w:rPr>
          <w:b/>
          <w:sz w:val="22"/>
        </w:rPr>
        <w:t>Title:</w:t>
      </w:r>
      <w:r w:rsidRPr="00086BFD">
        <w:rPr>
          <w:sz w:val="22"/>
        </w:rPr>
        <w:t xml:space="preserve"> </w:t>
      </w:r>
      <w:r w:rsidRPr="00086BFD">
        <w:rPr>
          <w:sz w:val="22"/>
        </w:rPr>
        <w:tab/>
      </w:r>
      <w:bookmarkStart w:id="3" w:name="OLE_LINK3"/>
      <w:bookmarkStart w:id="4" w:name="OLE_LINK4"/>
      <w:r w:rsidR="00E77CEA">
        <w:rPr>
          <w:sz w:val="22"/>
        </w:rPr>
        <w:t>Discussion on performance requirements for UE Rx-Tx time difference</w:t>
      </w:r>
    </w:p>
    <w:bookmarkEnd w:id="3"/>
    <w:bookmarkEnd w:id="4"/>
    <w:p w14:paraId="30D11868" w14:textId="43FEBDF0" w:rsidR="00174A69" w:rsidRPr="00086BFD" w:rsidRDefault="00174A69" w:rsidP="00DC62EC">
      <w:pPr>
        <w:ind w:left="1985" w:hanging="1985"/>
        <w:jc w:val="both"/>
        <w:rPr>
          <w:sz w:val="22"/>
        </w:rPr>
      </w:pPr>
      <w:r w:rsidRPr="00086BFD">
        <w:rPr>
          <w:b/>
          <w:sz w:val="22"/>
        </w:rPr>
        <w:t>Agenda Item:</w:t>
      </w:r>
      <w:r w:rsidRPr="00086BFD">
        <w:rPr>
          <w:sz w:val="22"/>
        </w:rPr>
        <w:tab/>
      </w:r>
      <w:r w:rsidR="0031607F">
        <w:rPr>
          <w:sz w:val="22"/>
        </w:rPr>
        <w:t>9.19.2.2.4</w:t>
      </w:r>
    </w:p>
    <w:p w14:paraId="60A229B7" w14:textId="2F777A42" w:rsidR="00174A69" w:rsidRPr="00086BFD" w:rsidRDefault="00174A69" w:rsidP="00DC62EC">
      <w:pPr>
        <w:tabs>
          <w:tab w:val="left" w:pos="1985"/>
        </w:tabs>
        <w:jc w:val="both"/>
        <w:rPr>
          <w:sz w:val="22"/>
        </w:rPr>
      </w:pPr>
      <w:r w:rsidRPr="00086BFD">
        <w:rPr>
          <w:b/>
          <w:sz w:val="22"/>
        </w:rPr>
        <w:t>Document for:</w:t>
      </w:r>
      <w:r w:rsidRPr="00086BFD">
        <w:rPr>
          <w:sz w:val="22"/>
        </w:rPr>
        <w:tab/>
      </w:r>
      <w:r w:rsidR="00854BFB">
        <w:rPr>
          <w:sz w:val="22"/>
        </w:rPr>
        <w:t>Discussion</w:t>
      </w:r>
    </w:p>
    <w:bookmarkEnd w:id="1"/>
    <w:bookmarkEnd w:id="2"/>
    <w:p w14:paraId="02095B93" w14:textId="61BE3DC9" w:rsidR="00A83598" w:rsidRPr="00A83598" w:rsidRDefault="00174A69" w:rsidP="00A83598">
      <w:pPr>
        <w:pStyle w:val="1"/>
        <w:spacing w:after="240"/>
        <w:jc w:val="both"/>
        <w:rPr>
          <w:rFonts w:ascii="Times New Roman" w:eastAsia="宋体" w:hAnsi="Times New Roman"/>
          <w:lang w:eastAsia="zh-CN"/>
        </w:rPr>
      </w:pPr>
      <w:r w:rsidRPr="00086BFD">
        <w:rPr>
          <w:rFonts w:ascii="Times New Roman" w:eastAsia="宋体" w:hAnsi="Times New Roman"/>
          <w:lang w:eastAsia="zh-CN"/>
        </w:rPr>
        <w:t>Introduction</w:t>
      </w:r>
    </w:p>
    <w:p w14:paraId="27E610EA" w14:textId="1FC37702" w:rsidR="00332418" w:rsidRDefault="003662D2" w:rsidP="003662D2">
      <w:pPr>
        <w:spacing w:before="120" w:after="0"/>
        <w:jc w:val="both"/>
        <w:rPr>
          <w:lang w:val="en-US"/>
        </w:rPr>
      </w:pPr>
      <w:r w:rsidRPr="003E7488">
        <w:rPr>
          <w:lang w:val="en-US"/>
        </w:rPr>
        <w:t>In the RAN4#10</w:t>
      </w:r>
      <w:r w:rsidR="007B5A5A">
        <w:rPr>
          <w:lang w:val="en-US"/>
        </w:rPr>
        <w:t>3</w:t>
      </w:r>
      <w:r w:rsidR="00E55CE0">
        <w:rPr>
          <w:lang w:val="en-US"/>
        </w:rPr>
        <w:t>-</w:t>
      </w:r>
      <w:r w:rsidRPr="003E7488">
        <w:rPr>
          <w:lang w:val="en-US"/>
        </w:rPr>
        <w:t xml:space="preserve">e meeting, </w:t>
      </w:r>
      <w:r w:rsidR="00332418">
        <w:rPr>
          <w:lang w:val="en-US"/>
        </w:rPr>
        <w:t xml:space="preserve">the </w:t>
      </w:r>
      <w:r w:rsidR="007B5A5A">
        <w:rPr>
          <w:lang w:val="en-US"/>
        </w:rPr>
        <w:t>performance requirements on timing delay error mitigation were discussed.</w:t>
      </w:r>
      <w:r w:rsidR="007B5A5A">
        <w:rPr>
          <w:rFonts w:hint="eastAsia"/>
          <w:lang w:val="en-US"/>
        </w:rPr>
        <w:t xml:space="preserve"> </w:t>
      </w:r>
      <w:r w:rsidR="00DE5845">
        <w:rPr>
          <w:lang w:val="en-US"/>
        </w:rPr>
        <w:t>The</w:t>
      </w:r>
      <w:r w:rsidR="00332418">
        <w:rPr>
          <w:lang w:val="en-US"/>
        </w:rPr>
        <w:t xml:space="preserve"> agreements </w:t>
      </w:r>
      <w:r w:rsidR="009B6F65">
        <w:rPr>
          <w:rFonts w:hint="eastAsia"/>
          <w:lang w:val="en-US"/>
        </w:rPr>
        <w:t>and</w:t>
      </w:r>
      <w:r w:rsidR="009B6F65">
        <w:rPr>
          <w:lang w:val="en-US"/>
        </w:rPr>
        <w:t xml:space="preserve"> </w:t>
      </w:r>
      <w:r w:rsidR="009B6F65">
        <w:rPr>
          <w:rFonts w:hint="eastAsia"/>
          <w:lang w:val="en-US"/>
        </w:rPr>
        <w:t>open</w:t>
      </w:r>
      <w:r w:rsidR="009B6F65">
        <w:rPr>
          <w:lang w:val="en-US"/>
        </w:rPr>
        <w:t xml:space="preserve"> </w:t>
      </w:r>
      <w:r w:rsidR="009B6F65">
        <w:rPr>
          <w:rFonts w:hint="eastAsia"/>
          <w:lang w:val="en-US"/>
        </w:rPr>
        <w:t>issues</w:t>
      </w:r>
      <w:r w:rsidR="009B6F65">
        <w:rPr>
          <w:lang w:val="en-US"/>
        </w:rPr>
        <w:t xml:space="preserve"> </w:t>
      </w:r>
      <w:r w:rsidR="00332418">
        <w:rPr>
          <w:lang w:val="en-US"/>
        </w:rPr>
        <w:t xml:space="preserve">were </w:t>
      </w:r>
      <w:r w:rsidR="00D01086">
        <w:rPr>
          <w:rFonts w:hint="eastAsia"/>
          <w:lang w:val="en-US"/>
        </w:rPr>
        <w:t>captured</w:t>
      </w:r>
      <w:r w:rsidR="00D01086">
        <w:rPr>
          <w:lang w:val="en-US"/>
        </w:rPr>
        <w:t xml:space="preserve"> </w:t>
      </w:r>
      <w:r w:rsidR="00D01086">
        <w:rPr>
          <w:rFonts w:hint="eastAsia"/>
          <w:lang w:val="en-US"/>
        </w:rPr>
        <w:t>in</w:t>
      </w:r>
      <w:r w:rsidR="00D01086">
        <w:rPr>
          <w:lang w:val="en-US"/>
        </w:rPr>
        <w:t xml:space="preserve"> </w:t>
      </w:r>
      <w:r w:rsidR="00D01086">
        <w:rPr>
          <w:rFonts w:hint="eastAsia"/>
          <w:lang w:val="en-US"/>
        </w:rPr>
        <w:t>[</w:t>
      </w:r>
      <w:r w:rsidR="00D730DE">
        <w:rPr>
          <w:lang w:val="en-US"/>
        </w:rPr>
        <w:t>1</w:t>
      </w:r>
      <w:r w:rsidR="00D01086">
        <w:rPr>
          <w:lang w:val="en-US"/>
        </w:rPr>
        <w:t xml:space="preserve">]. </w:t>
      </w:r>
      <w:r w:rsidR="00332418">
        <w:rPr>
          <w:lang w:val="en-US"/>
        </w:rPr>
        <w:t>In this contribution</w:t>
      </w:r>
      <w:r w:rsidR="00945905">
        <w:rPr>
          <w:lang w:val="en-US"/>
        </w:rPr>
        <w:t xml:space="preserve">, </w:t>
      </w:r>
      <w:r w:rsidR="00332418">
        <w:rPr>
          <w:lang w:val="en-US"/>
        </w:rPr>
        <w:t xml:space="preserve">we provide our further discussion on </w:t>
      </w:r>
      <w:r w:rsidR="00D01086">
        <w:rPr>
          <w:rFonts w:hint="eastAsia"/>
          <w:lang w:val="en-US"/>
        </w:rPr>
        <w:t>the</w:t>
      </w:r>
      <w:r w:rsidR="00D01086">
        <w:rPr>
          <w:lang w:val="en-US"/>
        </w:rPr>
        <w:t xml:space="preserve"> </w:t>
      </w:r>
      <w:r w:rsidR="00D01086">
        <w:rPr>
          <w:rFonts w:hint="eastAsia"/>
          <w:lang w:val="en-US"/>
        </w:rPr>
        <w:t>remaining</w:t>
      </w:r>
      <w:r w:rsidR="00D01086">
        <w:rPr>
          <w:lang w:val="en-US"/>
        </w:rPr>
        <w:t xml:space="preserve"> </w:t>
      </w:r>
      <w:r w:rsidR="00D01086">
        <w:rPr>
          <w:rFonts w:hint="eastAsia"/>
          <w:lang w:val="en-US"/>
        </w:rPr>
        <w:t>issues</w:t>
      </w:r>
      <w:r w:rsidR="00D01086">
        <w:rPr>
          <w:lang w:val="en-US"/>
        </w:rPr>
        <w:t xml:space="preserve"> </w:t>
      </w:r>
      <w:r w:rsidR="00D01086">
        <w:rPr>
          <w:rFonts w:hint="eastAsia"/>
          <w:lang w:val="en-US"/>
        </w:rPr>
        <w:t>regarding</w:t>
      </w:r>
      <w:r w:rsidR="00D01086">
        <w:rPr>
          <w:lang w:val="en-US"/>
        </w:rPr>
        <w:t xml:space="preserve"> </w:t>
      </w:r>
      <w:r w:rsidR="00DE5845">
        <w:rPr>
          <w:lang w:val="en-US"/>
        </w:rPr>
        <w:t>timing delay mitigation.</w:t>
      </w:r>
    </w:p>
    <w:p w14:paraId="764C2941" w14:textId="18219E9A" w:rsidR="0050465F" w:rsidRDefault="00174A69" w:rsidP="0050465F">
      <w:pPr>
        <w:pStyle w:val="1"/>
        <w:spacing w:after="240"/>
        <w:jc w:val="both"/>
        <w:rPr>
          <w:rFonts w:ascii="Times New Roman" w:eastAsia="宋体" w:hAnsi="Times New Roman"/>
          <w:lang w:eastAsia="zh-CN"/>
        </w:rPr>
      </w:pPr>
      <w:r w:rsidRPr="00086BFD">
        <w:rPr>
          <w:rFonts w:ascii="Times New Roman" w:eastAsia="宋体" w:hAnsi="Times New Roman"/>
          <w:lang w:eastAsia="zh-CN"/>
        </w:rPr>
        <w:t>Discussion</w:t>
      </w:r>
      <w:bookmarkStart w:id="5" w:name="OLE_LINK5"/>
    </w:p>
    <w:p w14:paraId="257B5FB0" w14:textId="2B7C5BB3" w:rsidR="009A459B" w:rsidRDefault="00C527EE" w:rsidP="009A459B">
      <w:r>
        <w:t xml:space="preserve">In the last meeting, </w:t>
      </w:r>
      <w:r w:rsidR="00D55C53">
        <w:t xml:space="preserve">RAN4 discussed </w:t>
      </w:r>
      <w:r>
        <w:t xml:space="preserve">the </w:t>
      </w:r>
      <w:r w:rsidR="006B574F">
        <w:t>candidate timing error margins for Rx TEGs, Tx TEGs and RxTx TEGs</w:t>
      </w:r>
      <w:r w:rsidR="00DF1FD4">
        <w:t>:</w:t>
      </w:r>
    </w:p>
    <w:tbl>
      <w:tblPr>
        <w:tblStyle w:val="af"/>
        <w:tblW w:w="0" w:type="auto"/>
        <w:tblLook w:val="04A0" w:firstRow="1" w:lastRow="0" w:firstColumn="1" w:lastColumn="0" w:noHBand="0" w:noVBand="1"/>
      </w:tblPr>
      <w:tblGrid>
        <w:gridCol w:w="9631"/>
      </w:tblGrid>
      <w:tr w:rsidR="00C527EE" w14:paraId="3BB13CC1" w14:textId="77777777" w:rsidTr="00C527EE">
        <w:tc>
          <w:tcPr>
            <w:tcW w:w="9631" w:type="dxa"/>
          </w:tcPr>
          <w:p w14:paraId="64E20153" w14:textId="18CC6FDB" w:rsidR="00ED2E9A" w:rsidRPr="00ED2E9A" w:rsidRDefault="00ED2E9A" w:rsidP="00ED2E9A">
            <w:pPr>
              <w:spacing w:after="120"/>
              <w:rPr>
                <w:rFonts w:eastAsiaTheme="minorEastAsia"/>
                <w:b/>
                <w:u w:val="single"/>
                <w:lang w:val="en-US"/>
              </w:rPr>
            </w:pPr>
            <w:r w:rsidRPr="00ED2E9A">
              <w:rPr>
                <w:rFonts w:eastAsiaTheme="minorEastAsia"/>
                <w:b/>
                <w:u w:val="single"/>
                <w:lang w:val="en-US"/>
              </w:rPr>
              <w:t>Issue 2-1-1 The candidate timing error margins for Rx TEGs</w:t>
            </w:r>
          </w:p>
          <w:p w14:paraId="4D59C064" w14:textId="77777777" w:rsidR="00ED2E9A" w:rsidRPr="00ED2E9A" w:rsidRDefault="00ED2E9A" w:rsidP="00ED2E9A">
            <w:pPr>
              <w:overflowPunct/>
              <w:autoSpaceDE/>
              <w:autoSpaceDN/>
              <w:adjustRightInd/>
              <w:spacing w:after="120"/>
              <w:textAlignment w:val="auto"/>
              <w:rPr>
                <w:rFonts w:eastAsiaTheme="minorEastAsia"/>
                <w:bCs/>
              </w:rPr>
            </w:pPr>
            <w:r w:rsidRPr="00ED2E9A">
              <w:rPr>
                <w:rFonts w:eastAsiaTheme="minorEastAsia"/>
                <w:i/>
                <w:lang w:val="en-US"/>
              </w:rPr>
              <w:t>Agreements:</w:t>
            </w:r>
          </w:p>
          <w:p w14:paraId="0736A41C" w14:textId="77777777" w:rsidR="00ED2E9A" w:rsidRPr="00ED2E9A" w:rsidRDefault="00ED2E9A" w:rsidP="00ED2E9A">
            <w:pPr>
              <w:numPr>
                <w:ilvl w:val="0"/>
                <w:numId w:val="29"/>
              </w:numPr>
              <w:overflowPunct/>
              <w:autoSpaceDE/>
              <w:autoSpaceDN/>
              <w:adjustRightInd/>
              <w:spacing w:after="120"/>
              <w:textAlignment w:val="auto"/>
              <w:rPr>
                <w:rFonts w:eastAsiaTheme="minorEastAsia"/>
                <w:bCs/>
              </w:rPr>
            </w:pPr>
            <w:r w:rsidRPr="00ED2E9A">
              <w:rPr>
                <w:rFonts w:eastAsiaTheme="minorEastAsia"/>
                <w:lang w:val="en-US"/>
              </w:rPr>
              <w:t>Candidate timing error margins:</w:t>
            </w:r>
            <w:r w:rsidRPr="00ED2E9A">
              <w:rPr>
                <w:rFonts w:eastAsiaTheme="minorEastAsia"/>
                <w:bCs/>
                <w:lang w:val="en-US"/>
              </w:rPr>
              <w:t xml:space="preserve"> </w:t>
            </w:r>
          </w:p>
          <w:p w14:paraId="5642693D" w14:textId="77777777" w:rsidR="00ED2E9A" w:rsidRPr="00ED2E9A" w:rsidRDefault="00ED2E9A" w:rsidP="00ED2E9A">
            <w:pPr>
              <w:numPr>
                <w:ilvl w:val="1"/>
                <w:numId w:val="29"/>
              </w:numPr>
              <w:overflowPunct/>
              <w:autoSpaceDE/>
              <w:autoSpaceDN/>
              <w:adjustRightInd/>
              <w:spacing w:after="120"/>
              <w:textAlignment w:val="auto"/>
              <w:rPr>
                <w:rFonts w:eastAsiaTheme="minorEastAsia"/>
                <w:bCs/>
              </w:rPr>
            </w:pPr>
            <w:r w:rsidRPr="00ED2E9A">
              <w:rPr>
                <w:rFonts w:eastAsiaTheme="minorEastAsia"/>
                <w:bCs/>
              </w:rPr>
              <w:t>0Tc, 2 Tc, 4 Tc, 6 Tc, 8 Tc, 12 Tc, 16 Tc, 20 Tc, 24 Tc, 32 Tc, 40 Tc, 48 Tc, 56Tc, 64 Tc, 72 Tc, 80 Tc.</w:t>
            </w:r>
          </w:p>
          <w:p w14:paraId="4CCC234C" w14:textId="77777777" w:rsidR="00ED2E9A" w:rsidRPr="00ED2E9A" w:rsidRDefault="00ED2E9A" w:rsidP="00ED2E9A">
            <w:pPr>
              <w:numPr>
                <w:ilvl w:val="0"/>
                <w:numId w:val="29"/>
              </w:numPr>
              <w:overflowPunct/>
              <w:autoSpaceDE/>
              <w:autoSpaceDN/>
              <w:adjustRightInd/>
              <w:spacing w:after="120"/>
              <w:textAlignment w:val="auto"/>
              <w:rPr>
                <w:rFonts w:eastAsiaTheme="minorEastAsia"/>
                <w:bCs/>
              </w:rPr>
            </w:pPr>
            <w:r w:rsidRPr="00ED2E9A">
              <w:rPr>
                <w:rFonts w:eastAsiaTheme="minorEastAsia"/>
                <w:bCs/>
              </w:rPr>
              <w:t xml:space="preserve">FFS: The applicable timing error margin values that can be selected by the UE are the pre-defined values that are not larger than the sum of the Rel-16 </w:t>
            </w:r>
            <w:proofErr w:type="gramStart"/>
            <w:r w:rsidRPr="00ED2E9A">
              <w:rPr>
                <w:rFonts w:eastAsiaTheme="minorEastAsia"/>
                <w:bCs/>
              </w:rPr>
              <w:t>group</w:t>
            </w:r>
            <w:proofErr w:type="gramEnd"/>
            <w:r w:rsidRPr="00ED2E9A">
              <w:rPr>
                <w:rFonts w:eastAsiaTheme="minorEastAsia"/>
                <w:bCs/>
              </w:rPr>
              <w:t xml:space="preserve"> delay margin (dependent on PRS/SRS BW) and frequency drift margin.</w:t>
            </w:r>
          </w:p>
          <w:p w14:paraId="4E730827" w14:textId="77777777" w:rsidR="00ED2E9A" w:rsidRPr="00ED2E9A" w:rsidRDefault="00ED2E9A" w:rsidP="00ED2E9A">
            <w:pPr>
              <w:overflowPunct/>
              <w:autoSpaceDE/>
              <w:autoSpaceDN/>
              <w:adjustRightInd/>
              <w:spacing w:after="120"/>
              <w:textAlignment w:val="auto"/>
              <w:rPr>
                <w:rFonts w:eastAsiaTheme="minorEastAsia"/>
                <w:b/>
                <w:u w:val="single"/>
                <w:lang w:val="en-US"/>
              </w:rPr>
            </w:pPr>
            <w:r w:rsidRPr="00ED2E9A">
              <w:rPr>
                <w:rFonts w:eastAsiaTheme="minorEastAsia"/>
                <w:b/>
                <w:u w:val="single"/>
                <w:lang w:val="en-US"/>
              </w:rPr>
              <w:t>Issue 2-1-2 The candidate timing error margins for Tx TEGs</w:t>
            </w:r>
          </w:p>
          <w:p w14:paraId="2E0CAF70" w14:textId="77777777" w:rsidR="00ED2E9A" w:rsidRPr="00ED2E9A" w:rsidRDefault="00ED2E9A" w:rsidP="00ED2E9A">
            <w:pPr>
              <w:overflowPunct/>
              <w:autoSpaceDE/>
              <w:autoSpaceDN/>
              <w:adjustRightInd/>
              <w:spacing w:after="120"/>
              <w:textAlignment w:val="auto"/>
              <w:rPr>
                <w:rFonts w:eastAsiaTheme="minorEastAsia"/>
                <w:i/>
                <w:lang w:val="en-US"/>
              </w:rPr>
            </w:pPr>
            <w:r w:rsidRPr="00ED2E9A">
              <w:rPr>
                <w:rFonts w:eastAsiaTheme="minorEastAsia"/>
                <w:i/>
                <w:lang w:val="en-US"/>
              </w:rPr>
              <w:t>Agreements:</w:t>
            </w:r>
          </w:p>
          <w:p w14:paraId="37B32B69" w14:textId="77777777" w:rsidR="00ED2E9A" w:rsidRPr="00ED2E9A" w:rsidRDefault="00ED2E9A" w:rsidP="00ED2E9A">
            <w:pPr>
              <w:numPr>
                <w:ilvl w:val="0"/>
                <w:numId w:val="29"/>
              </w:numPr>
              <w:overflowPunct/>
              <w:autoSpaceDE/>
              <w:autoSpaceDN/>
              <w:adjustRightInd/>
              <w:spacing w:after="120"/>
              <w:textAlignment w:val="auto"/>
              <w:rPr>
                <w:rFonts w:eastAsiaTheme="minorEastAsia"/>
                <w:bCs/>
              </w:rPr>
            </w:pPr>
            <w:r w:rsidRPr="00ED2E9A">
              <w:rPr>
                <w:rFonts w:eastAsiaTheme="minorEastAsia"/>
                <w:bCs/>
              </w:rPr>
              <w:t>Use the same candidate timing error margins as Rx TEG.</w:t>
            </w:r>
          </w:p>
          <w:p w14:paraId="6F953F2C" w14:textId="77777777" w:rsidR="00ED2E9A" w:rsidRPr="00ED2E9A" w:rsidRDefault="00ED2E9A" w:rsidP="00ED2E9A">
            <w:pPr>
              <w:overflowPunct/>
              <w:autoSpaceDE/>
              <w:autoSpaceDN/>
              <w:adjustRightInd/>
              <w:spacing w:after="120"/>
              <w:textAlignment w:val="auto"/>
              <w:rPr>
                <w:rFonts w:eastAsiaTheme="minorEastAsia"/>
                <w:b/>
                <w:u w:val="single"/>
                <w:lang w:val="en-US"/>
              </w:rPr>
            </w:pPr>
            <w:r w:rsidRPr="00ED2E9A">
              <w:rPr>
                <w:rFonts w:eastAsiaTheme="minorEastAsia"/>
                <w:b/>
                <w:u w:val="single"/>
                <w:lang w:val="en-US"/>
              </w:rPr>
              <w:t>Issue 2-1-3 The candidate timing error margins for RxTx TEGs</w:t>
            </w:r>
          </w:p>
          <w:p w14:paraId="4BA567A1" w14:textId="77777777" w:rsidR="00ED2E9A" w:rsidRPr="00ED2E9A" w:rsidRDefault="00ED2E9A" w:rsidP="00ED2E9A">
            <w:pPr>
              <w:overflowPunct/>
              <w:autoSpaceDE/>
              <w:autoSpaceDN/>
              <w:adjustRightInd/>
              <w:spacing w:after="120"/>
              <w:textAlignment w:val="auto"/>
              <w:rPr>
                <w:rFonts w:eastAsiaTheme="minorEastAsia"/>
                <w:i/>
                <w:lang w:val="en-US"/>
              </w:rPr>
            </w:pPr>
            <w:r w:rsidRPr="00ED2E9A">
              <w:rPr>
                <w:rFonts w:eastAsiaTheme="minorEastAsia"/>
                <w:i/>
                <w:lang w:val="en-US"/>
              </w:rPr>
              <w:t>Candidate options:</w:t>
            </w:r>
          </w:p>
          <w:p w14:paraId="23857404" w14:textId="77777777" w:rsidR="00ED2E9A" w:rsidRPr="00ED2E9A" w:rsidRDefault="00ED2E9A" w:rsidP="00ED2E9A">
            <w:pPr>
              <w:numPr>
                <w:ilvl w:val="0"/>
                <w:numId w:val="29"/>
              </w:numPr>
              <w:overflowPunct/>
              <w:autoSpaceDE/>
              <w:autoSpaceDN/>
              <w:adjustRightInd/>
              <w:spacing w:after="120"/>
              <w:textAlignment w:val="auto"/>
              <w:rPr>
                <w:rFonts w:eastAsiaTheme="minorEastAsia"/>
              </w:rPr>
            </w:pPr>
            <w:r w:rsidRPr="00ED2E9A">
              <w:rPr>
                <w:rFonts w:eastAsiaTheme="minorEastAsia"/>
              </w:rPr>
              <w:t xml:space="preserve">Option 1: </w:t>
            </w:r>
          </w:p>
          <w:p w14:paraId="51C07FD7" w14:textId="77777777" w:rsidR="00ED2E9A" w:rsidRPr="00ED2E9A" w:rsidRDefault="00ED2E9A" w:rsidP="00ED2E9A">
            <w:pPr>
              <w:numPr>
                <w:ilvl w:val="1"/>
                <w:numId w:val="29"/>
              </w:numPr>
              <w:overflowPunct/>
              <w:autoSpaceDE/>
              <w:autoSpaceDN/>
              <w:adjustRightInd/>
              <w:spacing w:after="120"/>
              <w:textAlignment w:val="auto"/>
              <w:rPr>
                <w:rFonts w:eastAsiaTheme="minorEastAsia"/>
                <w:bCs/>
              </w:rPr>
            </w:pPr>
            <w:r w:rsidRPr="00ED2E9A">
              <w:rPr>
                <w:rFonts w:eastAsiaTheme="minorEastAsia"/>
                <w:bCs/>
              </w:rPr>
              <w:t>(16 values): 1/2 Tc, 1 Tc, 2 Tc, 4 Tc, 8 Tc, 12 Tc, 16 Tc, 20 Tc, 24 Tc, 32 Tc, 40 Tc, 48 Tc, 64 Tc, 80 Tc, 96 Tc, 128 Tc.</w:t>
            </w:r>
          </w:p>
          <w:p w14:paraId="60F53265" w14:textId="77777777" w:rsidR="00ED2E9A" w:rsidRPr="00ED2E9A" w:rsidRDefault="00ED2E9A" w:rsidP="00ED2E9A">
            <w:pPr>
              <w:numPr>
                <w:ilvl w:val="0"/>
                <w:numId w:val="29"/>
              </w:numPr>
              <w:overflowPunct/>
              <w:autoSpaceDE/>
              <w:autoSpaceDN/>
              <w:adjustRightInd/>
              <w:spacing w:after="120"/>
              <w:textAlignment w:val="auto"/>
              <w:rPr>
                <w:rFonts w:eastAsiaTheme="minorEastAsia"/>
              </w:rPr>
            </w:pPr>
            <w:r w:rsidRPr="00ED2E9A">
              <w:rPr>
                <w:rFonts w:eastAsiaTheme="minorEastAsia"/>
              </w:rPr>
              <w:t xml:space="preserve">Option 2: </w:t>
            </w:r>
          </w:p>
          <w:p w14:paraId="25BC1653" w14:textId="311D30A2" w:rsidR="00646022" w:rsidRPr="00ED2E9A" w:rsidRDefault="00ED2E9A" w:rsidP="006B574F">
            <w:pPr>
              <w:numPr>
                <w:ilvl w:val="1"/>
                <w:numId w:val="29"/>
              </w:numPr>
              <w:overflowPunct/>
              <w:autoSpaceDE/>
              <w:autoSpaceDN/>
              <w:adjustRightInd/>
              <w:spacing w:after="120"/>
              <w:textAlignment w:val="auto"/>
              <w:rPr>
                <w:rFonts w:eastAsiaTheme="minorEastAsia"/>
                <w:bCs/>
              </w:rPr>
            </w:pPr>
            <w:r w:rsidRPr="00ED2E9A">
              <w:rPr>
                <w:rFonts w:eastAsiaTheme="minorEastAsia"/>
                <w:bCs/>
              </w:rPr>
              <w:t>Use the same candidate values as Rx TEG.</w:t>
            </w:r>
          </w:p>
        </w:tc>
      </w:tr>
    </w:tbl>
    <w:p w14:paraId="3F56FF01" w14:textId="2177F639" w:rsidR="008B3685" w:rsidRDefault="00960EAB" w:rsidP="006F53C5">
      <w:pPr>
        <w:spacing w:before="240" w:after="0"/>
        <w:jc w:val="both"/>
      </w:pPr>
      <w:r>
        <w:rPr>
          <w:rFonts w:hint="eastAsia"/>
        </w:rPr>
        <w:t>F</w:t>
      </w:r>
      <w:r>
        <w:t xml:space="preserve">or the candidate timing error margins for RxTx TEGs, we </w:t>
      </w:r>
      <w:r w:rsidR="0050706A">
        <w:t xml:space="preserve">understand that RxTx TEG need to consider both Rx timing error and Tx timing error. Therefore, </w:t>
      </w:r>
      <w:r w:rsidR="00CB06A9">
        <w:t xml:space="preserve">the range of </w:t>
      </w:r>
      <w:r w:rsidR="0050706A">
        <w:t xml:space="preserve">the </w:t>
      </w:r>
      <w:r w:rsidR="00CB06A9">
        <w:t>candidate</w:t>
      </w:r>
      <w:r w:rsidR="008B3685">
        <w:t xml:space="preserve"> </w:t>
      </w:r>
      <w:r w:rsidR="00CB06A9">
        <w:t xml:space="preserve">timing error margin shall be </w:t>
      </w:r>
      <w:r w:rsidR="00A73D06">
        <w:t>wid</w:t>
      </w:r>
      <w:r w:rsidR="00CB06A9">
        <w:t>er. In addition,</w:t>
      </w:r>
      <w:r w:rsidR="008B3685">
        <w:t xml:space="preserve"> according to the group delay calibration margin</w:t>
      </w:r>
      <w:r w:rsidR="00FD09E3">
        <w:t xml:space="preserve"> in Table 1</w:t>
      </w:r>
      <w:r w:rsidR="008B3685">
        <w:t>, the timing error difference between two measurements can be up to 160Tc</w:t>
      </w:r>
      <w:r w:rsidR="00A32639">
        <w:t xml:space="preserve"> (80Tc*2) </w:t>
      </w:r>
      <w:r w:rsidR="008B3685">
        <w:t>when the minimum of PRS bandwidth and SRS bandwidth is 10MHz</w:t>
      </w:r>
      <w:r w:rsidR="00FD09E3">
        <w:t xml:space="preserve"> without considering the frequency drift margin. </w:t>
      </w:r>
      <w:proofErr w:type="gramStart"/>
      <w:r w:rsidR="00FD09E3">
        <w:t>So</w:t>
      </w:r>
      <w:proofErr w:type="gramEnd"/>
      <w:r w:rsidR="00FD09E3">
        <w:t xml:space="preserve"> for the candidate timing error margins for RxTx TEGs, we support Option 1.</w:t>
      </w:r>
    </w:p>
    <w:p w14:paraId="73A78CF0" w14:textId="6464D8E7" w:rsidR="008B3685" w:rsidRDefault="008B3685" w:rsidP="008B3685">
      <w:pPr>
        <w:spacing w:before="120" w:after="120"/>
        <w:jc w:val="center"/>
        <w:rPr>
          <w:rFonts w:eastAsiaTheme="minorEastAsia"/>
          <w:b/>
        </w:rPr>
      </w:pPr>
      <w:r>
        <w:rPr>
          <w:rFonts w:eastAsiaTheme="minorEastAsia"/>
          <w:b/>
        </w:rPr>
        <w:t xml:space="preserve">Table 1: Group delay calibration margin for Rx-Tx </w:t>
      </w:r>
      <w:r w:rsidR="00FD09E3">
        <w:rPr>
          <w:rFonts w:eastAsiaTheme="minorEastAsia"/>
          <w:b/>
        </w:rPr>
        <w:t>measurement accuracy in FR1</w:t>
      </w:r>
    </w:p>
    <w:p w14:paraId="4E2736DA" w14:textId="5170347E" w:rsidR="00FD09E3" w:rsidRDefault="00FD09E3" w:rsidP="008B3685">
      <w:pPr>
        <w:spacing w:before="120" w:after="120"/>
        <w:jc w:val="center"/>
        <w:rPr>
          <w:rFonts w:eastAsiaTheme="minorEastAsia"/>
          <w:b/>
        </w:rPr>
      </w:pPr>
    </w:p>
    <w:tbl>
      <w:tblPr>
        <w:tblStyle w:val="TableGrid61"/>
        <w:tblW w:w="0" w:type="auto"/>
        <w:jc w:val="center"/>
        <w:tblInd w:w="0" w:type="dxa"/>
        <w:tblLook w:val="04A0" w:firstRow="1" w:lastRow="0" w:firstColumn="1" w:lastColumn="0" w:noHBand="0" w:noVBand="1"/>
      </w:tblPr>
      <w:tblGrid>
        <w:gridCol w:w="2933"/>
        <w:gridCol w:w="1266"/>
      </w:tblGrid>
      <w:tr w:rsidR="00FD09E3" w14:paraId="16E40F77" w14:textId="77777777" w:rsidTr="00FD09E3">
        <w:trPr>
          <w:trHeight w:val="520"/>
          <w:jc w:val="center"/>
        </w:trPr>
        <w:tc>
          <w:tcPr>
            <w:tcW w:w="0" w:type="auto"/>
            <w:tcBorders>
              <w:top w:val="single" w:sz="4" w:space="0" w:color="auto"/>
              <w:left w:val="single" w:sz="4" w:space="0" w:color="auto"/>
              <w:bottom w:val="single" w:sz="4" w:space="0" w:color="auto"/>
              <w:right w:val="single" w:sz="4" w:space="0" w:color="auto"/>
            </w:tcBorders>
          </w:tcPr>
          <w:p w14:paraId="597255D1" w14:textId="0BE1FA8D" w:rsidR="00FD09E3" w:rsidRPr="00FD09E3" w:rsidRDefault="00FD09E3" w:rsidP="00FD09E3">
            <w:pPr>
              <w:spacing w:before="120" w:after="120" w:line="252" w:lineRule="auto"/>
              <w:rPr>
                <w:rFonts w:eastAsiaTheme="minorEastAsia"/>
                <w:b/>
                <w:bCs/>
                <w:lang w:eastAsia="zh-CN"/>
              </w:rPr>
            </w:pPr>
            <w:proofErr w:type="gramStart"/>
            <w:r>
              <w:rPr>
                <w:b/>
                <w:bCs/>
              </w:rPr>
              <w:t>Min(</w:t>
            </w:r>
            <w:proofErr w:type="gramEnd"/>
            <w:r>
              <w:rPr>
                <w:b/>
                <w:bCs/>
              </w:rPr>
              <w:t>PRS BW, SRS BW) (MHz)</w:t>
            </w:r>
          </w:p>
        </w:tc>
        <w:tc>
          <w:tcPr>
            <w:tcW w:w="0" w:type="auto"/>
            <w:tcBorders>
              <w:top w:val="single" w:sz="4" w:space="0" w:color="auto"/>
              <w:left w:val="single" w:sz="4" w:space="0" w:color="auto"/>
              <w:bottom w:val="single" w:sz="4" w:space="0" w:color="auto"/>
              <w:right w:val="single" w:sz="4" w:space="0" w:color="auto"/>
            </w:tcBorders>
            <w:hideMark/>
          </w:tcPr>
          <w:p w14:paraId="12530B45" w14:textId="77777777" w:rsidR="00FD09E3" w:rsidRDefault="00FD09E3">
            <w:pPr>
              <w:spacing w:before="120" w:after="120"/>
              <w:rPr>
                <w:rFonts w:eastAsia="Yu Mincho"/>
                <w:b/>
                <w:bCs/>
              </w:rPr>
            </w:pPr>
            <w:r>
              <w:rPr>
                <w:rFonts w:eastAsia="Yu Mincho"/>
                <w:b/>
                <w:bCs/>
                <w:kern w:val="24"/>
              </w:rPr>
              <w:t>Margin (Tc)</w:t>
            </w:r>
          </w:p>
        </w:tc>
      </w:tr>
      <w:tr w:rsidR="00FD09E3" w14:paraId="5633C355" w14:textId="77777777" w:rsidTr="00FD09E3">
        <w:trPr>
          <w:trHeight w:val="46"/>
          <w:jc w:val="center"/>
        </w:trPr>
        <w:tc>
          <w:tcPr>
            <w:tcW w:w="0" w:type="auto"/>
            <w:tcBorders>
              <w:top w:val="single" w:sz="4" w:space="0" w:color="auto"/>
              <w:left w:val="single" w:sz="4" w:space="0" w:color="auto"/>
              <w:bottom w:val="single" w:sz="4" w:space="0" w:color="auto"/>
              <w:right w:val="single" w:sz="4" w:space="0" w:color="auto"/>
            </w:tcBorders>
            <w:hideMark/>
          </w:tcPr>
          <w:p w14:paraId="463200F3" w14:textId="77777777" w:rsidR="00FD09E3" w:rsidRDefault="00FD09E3">
            <w:pPr>
              <w:spacing w:before="120" w:after="120"/>
              <w:rPr>
                <w:rFonts w:eastAsia="Yu Mincho"/>
                <w:b/>
                <w:bCs/>
              </w:rPr>
            </w:pPr>
            <w:r>
              <w:rPr>
                <w:rFonts w:eastAsia="Microsoft Sans Serif"/>
                <w:color w:val="000000"/>
                <w:kern w:val="24"/>
              </w:rPr>
              <w:lastRenderedPageBreak/>
              <w:t xml:space="preserve">≥ </w:t>
            </w:r>
            <w:r>
              <w:rPr>
                <w:rFonts w:eastAsia="Yu Mincho"/>
                <w:color w:val="000000"/>
                <w:kern w:val="24"/>
              </w:rPr>
              <w:t>5</w:t>
            </w:r>
          </w:p>
        </w:tc>
        <w:tc>
          <w:tcPr>
            <w:tcW w:w="0" w:type="auto"/>
            <w:tcBorders>
              <w:top w:val="single" w:sz="4" w:space="0" w:color="auto"/>
              <w:left w:val="single" w:sz="4" w:space="0" w:color="auto"/>
              <w:bottom w:val="single" w:sz="4" w:space="0" w:color="auto"/>
              <w:right w:val="single" w:sz="4" w:space="0" w:color="auto"/>
            </w:tcBorders>
            <w:hideMark/>
          </w:tcPr>
          <w:p w14:paraId="075B5760" w14:textId="77777777" w:rsidR="00FD09E3" w:rsidRDefault="00FD09E3">
            <w:pPr>
              <w:spacing w:before="120" w:after="120"/>
              <w:rPr>
                <w:rFonts w:eastAsia="Yu Mincho"/>
                <w:b/>
                <w:bCs/>
              </w:rPr>
            </w:pPr>
            <w:r>
              <w:rPr>
                <w:rFonts w:eastAsia="Yu Mincho"/>
                <w:kern w:val="24"/>
              </w:rPr>
              <w:t>TBD</w:t>
            </w:r>
          </w:p>
        </w:tc>
      </w:tr>
      <w:tr w:rsidR="00FD09E3" w14:paraId="64773305" w14:textId="77777777" w:rsidTr="00FD09E3">
        <w:trPr>
          <w:trHeight w:val="46"/>
          <w:jc w:val="center"/>
        </w:trPr>
        <w:tc>
          <w:tcPr>
            <w:tcW w:w="0" w:type="auto"/>
            <w:tcBorders>
              <w:top w:val="single" w:sz="4" w:space="0" w:color="auto"/>
              <w:left w:val="single" w:sz="4" w:space="0" w:color="auto"/>
              <w:bottom w:val="single" w:sz="4" w:space="0" w:color="auto"/>
              <w:right w:val="single" w:sz="4" w:space="0" w:color="auto"/>
            </w:tcBorders>
            <w:hideMark/>
          </w:tcPr>
          <w:p w14:paraId="1AD97C55" w14:textId="77777777" w:rsidR="00FD09E3" w:rsidRDefault="00FD09E3">
            <w:pPr>
              <w:spacing w:before="120" w:after="120"/>
              <w:rPr>
                <w:rFonts w:eastAsia="Yu Mincho"/>
                <w:b/>
                <w:bCs/>
              </w:rPr>
            </w:pPr>
            <w:r>
              <w:rPr>
                <w:rFonts w:eastAsia="Microsoft Sans Serif"/>
                <w:color w:val="000000"/>
                <w:kern w:val="24"/>
              </w:rPr>
              <w:t xml:space="preserve">≥ </w:t>
            </w:r>
            <w:r>
              <w:rPr>
                <w:rFonts w:eastAsia="Yu Mincho"/>
                <w:color w:val="000000"/>
                <w:kern w:val="24"/>
              </w:rPr>
              <w:t>10</w:t>
            </w:r>
          </w:p>
        </w:tc>
        <w:tc>
          <w:tcPr>
            <w:tcW w:w="0" w:type="auto"/>
            <w:tcBorders>
              <w:top w:val="single" w:sz="4" w:space="0" w:color="auto"/>
              <w:left w:val="single" w:sz="4" w:space="0" w:color="auto"/>
              <w:bottom w:val="single" w:sz="4" w:space="0" w:color="auto"/>
              <w:right w:val="single" w:sz="4" w:space="0" w:color="auto"/>
            </w:tcBorders>
            <w:hideMark/>
          </w:tcPr>
          <w:p w14:paraId="2483844D" w14:textId="77777777" w:rsidR="00FD09E3" w:rsidRDefault="00FD09E3">
            <w:pPr>
              <w:spacing w:before="120" w:after="120"/>
              <w:rPr>
                <w:rFonts w:eastAsia="Yu Mincho"/>
                <w:b/>
                <w:bCs/>
              </w:rPr>
            </w:pPr>
            <w:r>
              <w:rPr>
                <w:rFonts w:eastAsia="Yu Mincho"/>
                <w:kern w:val="24"/>
              </w:rPr>
              <w:t>[80]</w:t>
            </w:r>
          </w:p>
        </w:tc>
      </w:tr>
      <w:tr w:rsidR="00FD09E3" w14:paraId="562E9F1A" w14:textId="77777777" w:rsidTr="00FD09E3">
        <w:trPr>
          <w:trHeight w:val="46"/>
          <w:jc w:val="center"/>
        </w:trPr>
        <w:tc>
          <w:tcPr>
            <w:tcW w:w="0" w:type="auto"/>
            <w:tcBorders>
              <w:top w:val="single" w:sz="4" w:space="0" w:color="auto"/>
              <w:left w:val="single" w:sz="4" w:space="0" w:color="auto"/>
              <w:bottom w:val="single" w:sz="4" w:space="0" w:color="auto"/>
              <w:right w:val="single" w:sz="4" w:space="0" w:color="auto"/>
            </w:tcBorders>
            <w:hideMark/>
          </w:tcPr>
          <w:p w14:paraId="4BED37BC" w14:textId="7755A486" w:rsidR="00FD09E3" w:rsidRDefault="00FD09E3">
            <w:pPr>
              <w:spacing w:before="120" w:after="120"/>
              <w:rPr>
                <w:rFonts w:eastAsia="Yu Mincho"/>
                <w:b/>
                <w:bCs/>
              </w:rPr>
            </w:pPr>
            <w:r>
              <w:rPr>
                <w:rFonts w:eastAsia="Microsoft Sans Serif"/>
                <w:color w:val="000000"/>
                <w:kern w:val="24"/>
              </w:rPr>
              <w:t xml:space="preserve">≥ </w:t>
            </w:r>
            <w:r>
              <w:rPr>
                <w:rFonts w:eastAsia="Yu Mincho"/>
                <w:color w:val="000000"/>
                <w:kern w:val="24"/>
              </w:rPr>
              <w:t>20</w:t>
            </w:r>
          </w:p>
        </w:tc>
        <w:tc>
          <w:tcPr>
            <w:tcW w:w="0" w:type="auto"/>
            <w:tcBorders>
              <w:top w:val="single" w:sz="4" w:space="0" w:color="auto"/>
              <w:left w:val="single" w:sz="4" w:space="0" w:color="auto"/>
              <w:bottom w:val="single" w:sz="4" w:space="0" w:color="auto"/>
              <w:right w:val="single" w:sz="4" w:space="0" w:color="auto"/>
            </w:tcBorders>
            <w:hideMark/>
          </w:tcPr>
          <w:p w14:paraId="667FF6DE" w14:textId="77777777" w:rsidR="00FD09E3" w:rsidRDefault="00FD09E3">
            <w:pPr>
              <w:spacing w:before="120" w:after="120"/>
              <w:rPr>
                <w:rFonts w:eastAsia="Yu Mincho"/>
                <w:b/>
                <w:bCs/>
              </w:rPr>
            </w:pPr>
            <w:r>
              <w:rPr>
                <w:rFonts w:eastAsia="Yu Mincho"/>
                <w:kern w:val="24"/>
              </w:rPr>
              <w:t>[56]</w:t>
            </w:r>
          </w:p>
        </w:tc>
      </w:tr>
      <w:tr w:rsidR="00FD09E3" w14:paraId="41170FB8" w14:textId="77777777" w:rsidTr="00FD09E3">
        <w:trPr>
          <w:trHeight w:val="46"/>
          <w:jc w:val="center"/>
        </w:trPr>
        <w:tc>
          <w:tcPr>
            <w:tcW w:w="0" w:type="auto"/>
            <w:tcBorders>
              <w:top w:val="single" w:sz="4" w:space="0" w:color="auto"/>
              <w:left w:val="single" w:sz="4" w:space="0" w:color="auto"/>
              <w:bottom w:val="single" w:sz="4" w:space="0" w:color="auto"/>
              <w:right w:val="single" w:sz="4" w:space="0" w:color="auto"/>
            </w:tcBorders>
            <w:hideMark/>
          </w:tcPr>
          <w:p w14:paraId="559A9D55" w14:textId="77777777" w:rsidR="00FD09E3" w:rsidRDefault="00FD09E3">
            <w:pPr>
              <w:spacing w:before="120" w:after="120"/>
              <w:rPr>
                <w:rFonts w:eastAsia="Yu Mincho"/>
                <w:b/>
                <w:bCs/>
              </w:rPr>
            </w:pPr>
            <w:r>
              <w:rPr>
                <w:rFonts w:eastAsia="Microsoft Sans Serif"/>
                <w:color w:val="000000"/>
                <w:kern w:val="24"/>
              </w:rPr>
              <w:t xml:space="preserve">≥ </w:t>
            </w:r>
            <w:r>
              <w:rPr>
                <w:rFonts w:eastAsia="Yu Mincho"/>
                <w:color w:val="000000"/>
                <w:kern w:val="24"/>
              </w:rPr>
              <w:t>50</w:t>
            </w:r>
          </w:p>
        </w:tc>
        <w:tc>
          <w:tcPr>
            <w:tcW w:w="0" w:type="auto"/>
            <w:tcBorders>
              <w:top w:val="single" w:sz="4" w:space="0" w:color="auto"/>
              <w:left w:val="single" w:sz="4" w:space="0" w:color="auto"/>
              <w:bottom w:val="single" w:sz="4" w:space="0" w:color="auto"/>
              <w:right w:val="single" w:sz="4" w:space="0" w:color="auto"/>
            </w:tcBorders>
            <w:hideMark/>
          </w:tcPr>
          <w:p w14:paraId="2792AD82" w14:textId="77777777" w:rsidR="00FD09E3" w:rsidRDefault="00FD09E3">
            <w:pPr>
              <w:spacing w:before="120" w:after="120"/>
              <w:rPr>
                <w:rFonts w:eastAsia="Yu Mincho"/>
                <w:b/>
                <w:bCs/>
              </w:rPr>
            </w:pPr>
            <w:r>
              <w:rPr>
                <w:rFonts w:eastAsia="Yu Mincho"/>
                <w:kern w:val="24"/>
              </w:rPr>
              <w:t>[24]</w:t>
            </w:r>
          </w:p>
        </w:tc>
      </w:tr>
      <w:tr w:rsidR="00FD09E3" w14:paraId="43E687D0" w14:textId="77777777" w:rsidTr="00FD09E3">
        <w:trPr>
          <w:trHeight w:val="46"/>
          <w:jc w:val="center"/>
        </w:trPr>
        <w:tc>
          <w:tcPr>
            <w:tcW w:w="0" w:type="auto"/>
            <w:tcBorders>
              <w:top w:val="single" w:sz="4" w:space="0" w:color="auto"/>
              <w:left w:val="single" w:sz="4" w:space="0" w:color="auto"/>
              <w:bottom w:val="single" w:sz="4" w:space="0" w:color="auto"/>
              <w:right w:val="single" w:sz="4" w:space="0" w:color="auto"/>
            </w:tcBorders>
            <w:hideMark/>
          </w:tcPr>
          <w:p w14:paraId="2CC2E83A" w14:textId="77777777" w:rsidR="00FD09E3" w:rsidRDefault="00FD09E3">
            <w:pPr>
              <w:spacing w:before="120" w:after="120"/>
              <w:rPr>
                <w:rFonts w:eastAsia="Microsoft Sans Serif"/>
                <w:color w:val="000000"/>
                <w:kern w:val="24"/>
              </w:rPr>
            </w:pPr>
            <w:r>
              <w:rPr>
                <w:rFonts w:eastAsia="Microsoft Sans Serif"/>
                <w:color w:val="000000"/>
                <w:kern w:val="24"/>
              </w:rPr>
              <w:t xml:space="preserve">≥ </w:t>
            </w:r>
            <w:r>
              <w:rPr>
                <w:rFonts w:eastAsia="Yu Mincho"/>
                <w:color w:val="000000"/>
                <w:kern w:val="24"/>
              </w:rPr>
              <w:t>100</w:t>
            </w:r>
          </w:p>
        </w:tc>
        <w:tc>
          <w:tcPr>
            <w:tcW w:w="0" w:type="auto"/>
            <w:tcBorders>
              <w:top w:val="single" w:sz="4" w:space="0" w:color="auto"/>
              <w:left w:val="single" w:sz="4" w:space="0" w:color="auto"/>
              <w:bottom w:val="single" w:sz="4" w:space="0" w:color="auto"/>
              <w:right w:val="single" w:sz="4" w:space="0" w:color="auto"/>
            </w:tcBorders>
            <w:hideMark/>
          </w:tcPr>
          <w:p w14:paraId="4C53BF81" w14:textId="77777777" w:rsidR="00FD09E3" w:rsidRDefault="00FD09E3">
            <w:pPr>
              <w:spacing w:before="120" w:after="120"/>
              <w:rPr>
                <w:rFonts w:eastAsia="Yu Mincho"/>
                <w:kern w:val="24"/>
              </w:rPr>
            </w:pPr>
            <w:r>
              <w:rPr>
                <w:rFonts w:eastAsia="Yu Mincho"/>
                <w:kern w:val="24"/>
              </w:rPr>
              <w:t>[24]</w:t>
            </w:r>
          </w:p>
        </w:tc>
      </w:tr>
    </w:tbl>
    <w:p w14:paraId="7C47B87E" w14:textId="4BECC88A" w:rsidR="00ED2E9A" w:rsidRDefault="00FD09E3" w:rsidP="006F53C5">
      <w:pPr>
        <w:spacing w:before="240" w:after="0"/>
        <w:jc w:val="both"/>
        <w:rPr>
          <w:b/>
          <w:bCs/>
        </w:rPr>
      </w:pPr>
      <w:r w:rsidRPr="00FD09E3">
        <w:rPr>
          <w:b/>
          <w:bCs/>
        </w:rPr>
        <w:t xml:space="preserve">Proposal 1: For the candidate timing error margins for RxTx TEGs, we support Option 1, i.e., </w:t>
      </w:r>
      <w:r w:rsidRPr="00ED2E9A">
        <w:rPr>
          <w:rFonts w:eastAsiaTheme="minorEastAsia"/>
          <w:b/>
          <w:bCs/>
        </w:rPr>
        <w:t>1/2 Tc, 1 Tc, 2 Tc, 4 Tc, 8 Tc, 12 Tc, 16 Tc, 20 Tc, 24 Tc, 32 Tc, 40 Tc, 48 Tc, 64 Tc, 80 Tc, 96 Tc, 128 Tc.</w:t>
      </w:r>
    </w:p>
    <w:p w14:paraId="39BC2607" w14:textId="6AFA1099" w:rsidR="00FD09E3" w:rsidRDefault="00FD09E3" w:rsidP="006F53C5">
      <w:pPr>
        <w:spacing w:before="240" w:after="0"/>
        <w:jc w:val="both"/>
      </w:pPr>
      <w:r>
        <w:rPr>
          <w:rFonts w:hint="eastAsia"/>
        </w:rPr>
        <w:t>A</w:t>
      </w:r>
      <w:r>
        <w:t>nother issue is related to accuracy requirements needed to be defined related to TEG. The details were captured as follows:</w:t>
      </w:r>
    </w:p>
    <w:p w14:paraId="165BB9AB" w14:textId="77777777" w:rsidR="00FD09E3" w:rsidRDefault="00FD09E3" w:rsidP="006F53C5">
      <w:pPr>
        <w:spacing w:before="240" w:after="0"/>
        <w:jc w:val="both"/>
      </w:pPr>
    </w:p>
    <w:tbl>
      <w:tblPr>
        <w:tblStyle w:val="af"/>
        <w:tblW w:w="0" w:type="auto"/>
        <w:tblLook w:val="04A0" w:firstRow="1" w:lastRow="0" w:firstColumn="1" w:lastColumn="0" w:noHBand="0" w:noVBand="1"/>
      </w:tblPr>
      <w:tblGrid>
        <w:gridCol w:w="9631"/>
      </w:tblGrid>
      <w:tr w:rsidR="00FD09E3" w14:paraId="0B879209" w14:textId="77777777" w:rsidTr="00FD09E3">
        <w:tc>
          <w:tcPr>
            <w:tcW w:w="9631" w:type="dxa"/>
          </w:tcPr>
          <w:p w14:paraId="6480B385" w14:textId="77777777" w:rsidR="00FD09E3" w:rsidRPr="00FD09E3" w:rsidRDefault="00FD09E3" w:rsidP="00FD09E3">
            <w:pPr>
              <w:spacing w:before="240" w:after="0"/>
              <w:jc w:val="both"/>
              <w:rPr>
                <w:b/>
                <w:u w:val="single"/>
                <w:lang w:val="en-US"/>
              </w:rPr>
            </w:pPr>
            <w:r w:rsidRPr="00FD09E3">
              <w:rPr>
                <w:b/>
                <w:u w:val="single"/>
                <w:lang w:val="en-US"/>
              </w:rPr>
              <w:t>Issue 2-1-6 Accuracy requirements needed to be defined related to TEG?</w:t>
            </w:r>
          </w:p>
          <w:p w14:paraId="3873D06E" w14:textId="77777777" w:rsidR="00FD09E3" w:rsidRPr="00FD09E3" w:rsidRDefault="00FD09E3" w:rsidP="00FD09E3">
            <w:pPr>
              <w:spacing w:before="240" w:after="0"/>
              <w:jc w:val="both"/>
              <w:rPr>
                <w:i/>
                <w:lang w:val="en-US"/>
              </w:rPr>
            </w:pPr>
            <w:r w:rsidRPr="00FD09E3">
              <w:rPr>
                <w:i/>
                <w:lang w:val="en-US"/>
              </w:rPr>
              <w:t>Agreements:</w:t>
            </w:r>
          </w:p>
          <w:p w14:paraId="4E0FE101" w14:textId="77777777" w:rsidR="00FD09E3" w:rsidRPr="00FD09E3" w:rsidRDefault="00FD09E3" w:rsidP="00FD09E3">
            <w:pPr>
              <w:numPr>
                <w:ilvl w:val="0"/>
                <w:numId w:val="29"/>
              </w:numPr>
              <w:spacing w:before="240" w:after="0"/>
              <w:jc w:val="both"/>
              <w:rPr>
                <w:lang w:val="en-US"/>
              </w:rPr>
            </w:pPr>
            <w:r w:rsidRPr="00FD09E3">
              <w:rPr>
                <w:lang w:val="en-US"/>
              </w:rPr>
              <w:t>Define absolute RSTD measurement accuracy requirements when the measurements of reference cell and neighbor cell are within the same Rx TEG.</w:t>
            </w:r>
          </w:p>
          <w:p w14:paraId="5237C36C" w14:textId="77777777" w:rsidR="00FD09E3" w:rsidRPr="00FD09E3" w:rsidRDefault="00FD09E3" w:rsidP="00FD09E3">
            <w:pPr>
              <w:numPr>
                <w:ilvl w:val="0"/>
                <w:numId w:val="29"/>
              </w:numPr>
              <w:spacing w:before="240" w:after="0"/>
              <w:jc w:val="both"/>
              <w:rPr>
                <w:lang w:val="en-US"/>
              </w:rPr>
            </w:pPr>
            <w:r w:rsidRPr="00FD09E3">
              <w:rPr>
                <w:lang w:val="en-US"/>
              </w:rPr>
              <w:t>When defining the absolute accuracy requirements of RSTD, the simulation results of RSTD in R16 can be reused.</w:t>
            </w:r>
          </w:p>
          <w:p w14:paraId="4050DAD4" w14:textId="77777777" w:rsidR="00FD09E3" w:rsidRPr="00FD09E3" w:rsidRDefault="00FD09E3" w:rsidP="00FD09E3">
            <w:pPr>
              <w:numPr>
                <w:ilvl w:val="0"/>
                <w:numId w:val="29"/>
              </w:numPr>
              <w:spacing w:before="240" w:after="0"/>
              <w:jc w:val="both"/>
              <w:rPr>
                <w:lang w:val="en-US"/>
              </w:rPr>
            </w:pPr>
            <w:r w:rsidRPr="00FD09E3">
              <w:rPr>
                <w:lang w:val="en-US"/>
              </w:rPr>
              <w:t>Discuss whether to define relative UE Rx-Tx accuracy requirements with timing error for the case where two measurements are in same RxTx TEG.</w:t>
            </w:r>
          </w:p>
          <w:p w14:paraId="78E7D3A0" w14:textId="77777777" w:rsidR="00FD09E3" w:rsidRPr="00FD09E3" w:rsidRDefault="00FD09E3" w:rsidP="00FD09E3">
            <w:pPr>
              <w:spacing w:before="240" w:after="0"/>
              <w:jc w:val="both"/>
              <w:rPr>
                <w:b/>
                <w:u w:val="single"/>
                <w:lang w:val="en-US"/>
              </w:rPr>
            </w:pPr>
            <w:r w:rsidRPr="00FD09E3">
              <w:rPr>
                <w:b/>
                <w:u w:val="single"/>
                <w:lang w:val="en-US"/>
              </w:rPr>
              <w:t>Issue 2-1-7 Measurement reporting condition for RSTD/UE Rx-Tx measurement?</w:t>
            </w:r>
          </w:p>
          <w:p w14:paraId="70AE8E71" w14:textId="77777777" w:rsidR="00FD09E3" w:rsidRPr="00FD09E3" w:rsidRDefault="00FD09E3" w:rsidP="00FD09E3">
            <w:pPr>
              <w:spacing w:before="240" w:after="0"/>
              <w:jc w:val="both"/>
              <w:rPr>
                <w:i/>
                <w:lang w:val="en-US"/>
              </w:rPr>
            </w:pPr>
            <w:r w:rsidRPr="00FD09E3">
              <w:rPr>
                <w:i/>
                <w:lang w:val="en-US"/>
              </w:rPr>
              <w:t>Candidate options for open discussion:</w:t>
            </w:r>
          </w:p>
          <w:p w14:paraId="739B85DA" w14:textId="77777777" w:rsidR="00FD09E3" w:rsidRPr="00FD09E3" w:rsidRDefault="00FD09E3" w:rsidP="00FD09E3">
            <w:pPr>
              <w:numPr>
                <w:ilvl w:val="0"/>
                <w:numId w:val="29"/>
              </w:numPr>
              <w:spacing w:before="240" w:after="0"/>
              <w:jc w:val="both"/>
            </w:pPr>
            <w:r w:rsidRPr="00FD09E3">
              <w:t xml:space="preserve">Proposal 1: </w:t>
            </w:r>
          </w:p>
          <w:p w14:paraId="306ADF54" w14:textId="77777777" w:rsidR="00FD09E3" w:rsidRPr="00FD09E3" w:rsidRDefault="00FD09E3" w:rsidP="00FD09E3">
            <w:pPr>
              <w:numPr>
                <w:ilvl w:val="1"/>
                <w:numId w:val="29"/>
              </w:numPr>
              <w:spacing w:before="240" w:after="0"/>
              <w:jc w:val="both"/>
              <w:rPr>
                <w:bCs/>
              </w:rPr>
            </w:pPr>
            <w:r w:rsidRPr="00FD09E3">
              <w:rPr>
                <w:bCs/>
              </w:rPr>
              <w:t>The UE capable of Rx TEG, shall report ∆RSTD defined in clause 10.1.23.3.2 provided that the magnitude of difference between timing error margins of the two TEGs used for the two RSTD measurements (RSTD1 and RSTD2) for deriving ∆RSTD is below X Tc; X is TBD. Otherwise, the UE does not report the measurement.</w:t>
            </w:r>
          </w:p>
          <w:p w14:paraId="0F0658FC" w14:textId="77777777" w:rsidR="00FD09E3" w:rsidRPr="00FD09E3" w:rsidRDefault="00FD09E3" w:rsidP="00FD09E3">
            <w:pPr>
              <w:numPr>
                <w:ilvl w:val="1"/>
                <w:numId w:val="29"/>
              </w:numPr>
              <w:spacing w:before="240" w:after="0"/>
              <w:jc w:val="both"/>
              <w:rPr>
                <w:bCs/>
              </w:rPr>
            </w:pPr>
            <w:r w:rsidRPr="00FD09E3">
              <w:rPr>
                <w:bCs/>
              </w:rPr>
              <w:t>The UE capable of RxTx TEG, shall report ∆T</w:t>
            </w:r>
            <w:r w:rsidRPr="00FD09E3">
              <w:rPr>
                <w:bCs/>
                <w:vertAlign w:val="subscript"/>
              </w:rPr>
              <w:t>UE Rx-Tx</w:t>
            </w:r>
            <w:r w:rsidRPr="00FD09E3">
              <w:rPr>
                <w:bCs/>
              </w:rPr>
              <w:t> defined in clause 10.1.25.3.2 provided that the magnitude of difference between timing error margins of the two TEGs used for the two UE Rx-Tx time difference measurements (T</w:t>
            </w:r>
            <w:r w:rsidRPr="00FD09E3">
              <w:rPr>
                <w:bCs/>
                <w:vertAlign w:val="subscript"/>
              </w:rPr>
              <w:t>UE Rx-Tx1</w:t>
            </w:r>
            <w:r w:rsidRPr="00FD09E3">
              <w:rPr>
                <w:bCs/>
              </w:rPr>
              <w:t> - T</w:t>
            </w:r>
            <w:r w:rsidRPr="00FD09E3">
              <w:rPr>
                <w:bCs/>
                <w:vertAlign w:val="subscript"/>
              </w:rPr>
              <w:t>UE Rx-Tx2</w:t>
            </w:r>
            <w:r w:rsidRPr="00FD09E3">
              <w:rPr>
                <w:bCs/>
              </w:rPr>
              <w:t>) for deriving ∆T</w:t>
            </w:r>
            <w:r w:rsidRPr="00FD09E3">
              <w:rPr>
                <w:bCs/>
                <w:vertAlign w:val="subscript"/>
              </w:rPr>
              <w:t>UE Rx-Tx</w:t>
            </w:r>
            <w:r w:rsidRPr="00FD09E3">
              <w:rPr>
                <w:bCs/>
              </w:rPr>
              <w:t> is below X Tc; X is TBD. Otherwise, the UE does not report the measurement.</w:t>
            </w:r>
          </w:p>
          <w:p w14:paraId="01906942" w14:textId="77777777" w:rsidR="00FD09E3" w:rsidRPr="00FD09E3" w:rsidRDefault="00FD09E3" w:rsidP="00FD09E3">
            <w:pPr>
              <w:spacing w:before="240" w:after="0"/>
              <w:jc w:val="both"/>
              <w:rPr>
                <w:b/>
                <w:u w:val="single"/>
                <w:lang w:val="en-US"/>
              </w:rPr>
            </w:pPr>
            <w:r w:rsidRPr="00FD09E3">
              <w:rPr>
                <w:b/>
                <w:u w:val="single"/>
                <w:lang w:val="en-US"/>
              </w:rPr>
              <w:t>Issue 2-1-8 Test cases needed to be defined related to TEG?</w:t>
            </w:r>
          </w:p>
          <w:p w14:paraId="1C22B4D0" w14:textId="77777777" w:rsidR="00FD09E3" w:rsidRPr="00FD09E3" w:rsidRDefault="00FD09E3" w:rsidP="00FD09E3">
            <w:pPr>
              <w:spacing w:before="240" w:after="0"/>
              <w:jc w:val="both"/>
              <w:rPr>
                <w:i/>
                <w:lang w:val="en-US"/>
              </w:rPr>
            </w:pPr>
            <w:r w:rsidRPr="00FD09E3">
              <w:rPr>
                <w:i/>
                <w:lang w:val="en-US"/>
              </w:rPr>
              <w:t>Agreements:</w:t>
            </w:r>
          </w:p>
          <w:p w14:paraId="7A7F4D00" w14:textId="77777777" w:rsidR="00FD09E3" w:rsidRPr="00FD09E3" w:rsidRDefault="00FD09E3" w:rsidP="00FD09E3">
            <w:pPr>
              <w:numPr>
                <w:ilvl w:val="0"/>
                <w:numId w:val="29"/>
              </w:numPr>
              <w:spacing w:before="240" w:after="0"/>
              <w:jc w:val="both"/>
              <w:rPr>
                <w:lang w:val="en-US"/>
              </w:rPr>
            </w:pPr>
            <w:r w:rsidRPr="00FD09E3">
              <w:rPr>
                <w:lang w:val="en-US"/>
              </w:rPr>
              <w:t xml:space="preserve">Define test cases for </w:t>
            </w:r>
            <w:r w:rsidRPr="00FD09E3">
              <w:rPr>
                <w:bCs/>
              </w:rPr>
              <w:t>RSTD measurement accuracy requirements related to TEGs</w:t>
            </w:r>
          </w:p>
          <w:p w14:paraId="00BA029C" w14:textId="77777777" w:rsidR="00FD09E3" w:rsidRPr="00FD09E3" w:rsidRDefault="00FD09E3" w:rsidP="00FD09E3">
            <w:pPr>
              <w:numPr>
                <w:ilvl w:val="0"/>
                <w:numId w:val="29"/>
              </w:numPr>
              <w:spacing w:before="240" w:after="0"/>
              <w:jc w:val="both"/>
              <w:rPr>
                <w:bCs/>
              </w:rPr>
            </w:pPr>
            <w:r w:rsidRPr="00FD09E3">
              <w:rPr>
                <w:bCs/>
              </w:rPr>
              <w:t xml:space="preserve">FFS: whether to define test case </w:t>
            </w:r>
            <w:bookmarkStart w:id="6" w:name="_Hlk106811355"/>
            <w:r w:rsidRPr="00FD09E3">
              <w:rPr>
                <w:bCs/>
              </w:rPr>
              <w:t>for UE Rx-Tx time difference measurement accuracy requirements related to TEGs</w:t>
            </w:r>
            <w:bookmarkEnd w:id="6"/>
            <w:r w:rsidRPr="00FD09E3">
              <w:rPr>
                <w:bCs/>
              </w:rPr>
              <w:t xml:space="preserve">. </w:t>
            </w:r>
          </w:p>
          <w:p w14:paraId="6EC80C2A" w14:textId="1A479FCD" w:rsidR="00FD09E3" w:rsidRPr="00846C8B" w:rsidRDefault="00FD09E3" w:rsidP="006F53C5">
            <w:pPr>
              <w:numPr>
                <w:ilvl w:val="0"/>
                <w:numId w:val="29"/>
              </w:numPr>
              <w:spacing w:before="240" w:after="0"/>
              <w:jc w:val="both"/>
              <w:rPr>
                <w:bCs/>
              </w:rPr>
            </w:pPr>
            <w:r w:rsidRPr="00FD09E3">
              <w:rPr>
                <w:bCs/>
              </w:rPr>
              <w:t>FFS: F</w:t>
            </w:r>
            <w:r w:rsidRPr="00FD09E3">
              <w:rPr>
                <w:lang w:val="en-US"/>
              </w:rPr>
              <w:t xml:space="preserve">or the test case of RSTD and UE Rx-Tx measurement accuracy requirements related to TEG, the current test configurations in TS 38.133 clause A.6.7.13.1/ A.7.7.10.1 and clause </w:t>
            </w:r>
            <w:r w:rsidRPr="00FD09E3">
              <w:rPr>
                <w:lang w:val="en-US"/>
              </w:rPr>
              <w:lastRenderedPageBreak/>
              <w:t>A.6.7.15.1/ A.7.7.12.1 can be reused except that UE shall use the same TEG to perform the measurement on both cells.</w:t>
            </w:r>
          </w:p>
        </w:tc>
      </w:tr>
    </w:tbl>
    <w:p w14:paraId="3309DD34" w14:textId="0F4B3938" w:rsidR="00BC506F" w:rsidRDefault="00846C8B" w:rsidP="006F53C5">
      <w:pPr>
        <w:spacing w:before="240" w:after="0"/>
        <w:jc w:val="both"/>
      </w:pPr>
      <w:r>
        <w:rPr>
          <w:rFonts w:hint="eastAsia"/>
        </w:rPr>
        <w:lastRenderedPageBreak/>
        <w:t>I</w:t>
      </w:r>
      <w:r>
        <w:t xml:space="preserve">n the last meeting, </w:t>
      </w:r>
      <w:r w:rsidR="002B602F">
        <w:t xml:space="preserve">the question </w:t>
      </w:r>
      <w:r>
        <w:t xml:space="preserve">whether to define </w:t>
      </w:r>
      <w:r w:rsidR="002B602F">
        <w:t>relative UE Rx-Tx accuracy requirements was discussed.</w:t>
      </w:r>
      <w:r w:rsidR="00B20DC8">
        <w:t xml:space="preserve"> </w:t>
      </w:r>
      <w:r w:rsidR="000B36B5">
        <w:t>In our view, when the two measurements are in the same UE Rx-Tx TEG, the relative UE Rx-Tx accuracy requirements can be</w:t>
      </w:r>
      <w:r w:rsidR="006703FA">
        <w:t xml:space="preserve"> further tightened. </w:t>
      </w:r>
      <w:proofErr w:type="gramStart"/>
      <w:r w:rsidR="00BC506F">
        <w:t>So</w:t>
      </w:r>
      <w:proofErr w:type="gramEnd"/>
      <w:r w:rsidR="00BC506F">
        <w:t xml:space="preserve"> we suggest to define the relative Rx-Tx accuracy requirement when the </w:t>
      </w:r>
      <w:r w:rsidR="00BC506F" w:rsidRPr="00BC506F">
        <w:t>two measurements are in the same UE Rx-Tx TEG</w:t>
      </w:r>
      <w:r w:rsidR="00BC506F">
        <w:t xml:space="preserve">. Similarly, the test case for </w:t>
      </w:r>
      <w:r w:rsidR="00BC506F" w:rsidRPr="00BC506F">
        <w:t>UE Rx-Tx time difference measurement accuracy requirements related to TEGs</w:t>
      </w:r>
      <w:r w:rsidR="00BC506F">
        <w:t xml:space="preserve"> also need to be defined.</w:t>
      </w:r>
    </w:p>
    <w:p w14:paraId="651BADE3" w14:textId="55BA2D22" w:rsidR="00BC506F" w:rsidRDefault="00BC506F" w:rsidP="006F53C5">
      <w:pPr>
        <w:spacing w:before="240" w:after="0"/>
        <w:jc w:val="both"/>
        <w:rPr>
          <w:b/>
          <w:bCs/>
        </w:rPr>
      </w:pPr>
      <w:r w:rsidRPr="00BC506F">
        <w:rPr>
          <w:b/>
          <w:bCs/>
        </w:rPr>
        <w:t xml:space="preserve">Proposal 2: </w:t>
      </w:r>
      <w:r>
        <w:rPr>
          <w:b/>
          <w:bCs/>
        </w:rPr>
        <w:t>D</w:t>
      </w:r>
      <w:r w:rsidRPr="00BC506F">
        <w:rPr>
          <w:b/>
          <w:bCs/>
        </w:rPr>
        <w:t>efine the relative Rx-Tx accuracy requirement when the two measurements are in the same UE Rx-Tx TEG.</w:t>
      </w:r>
    </w:p>
    <w:p w14:paraId="6262481E" w14:textId="254B962C" w:rsidR="00BC506F" w:rsidRPr="00BC506F" w:rsidRDefault="00BC506F" w:rsidP="006F53C5">
      <w:pPr>
        <w:spacing w:before="240" w:after="0"/>
        <w:jc w:val="both"/>
        <w:rPr>
          <w:b/>
          <w:bCs/>
        </w:rPr>
      </w:pPr>
      <w:r w:rsidRPr="00BC506F">
        <w:rPr>
          <w:b/>
          <w:bCs/>
        </w:rPr>
        <w:t xml:space="preserve">Proposal </w:t>
      </w:r>
      <w:r>
        <w:rPr>
          <w:b/>
          <w:bCs/>
        </w:rPr>
        <w:t xml:space="preserve">3: Define the test case for </w:t>
      </w:r>
      <w:r w:rsidRPr="00BC506F">
        <w:rPr>
          <w:b/>
          <w:bCs/>
        </w:rPr>
        <w:t>UE Rx-Tx time difference measurement accuracy requirements related to TEGs</w:t>
      </w:r>
      <w:r>
        <w:rPr>
          <w:b/>
          <w:bCs/>
        </w:rPr>
        <w:t>.</w:t>
      </w:r>
    </w:p>
    <w:p w14:paraId="26FA71B5" w14:textId="2F678FF1" w:rsidR="00161B34" w:rsidRDefault="006703FA" w:rsidP="006F53C5">
      <w:pPr>
        <w:spacing w:before="240" w:after="0"/>
        <w:jc w:val="both"/>
      </w:pPr>
      <w:r>
        <w:t xml:space="preserve">In the existing spec, the relative Rx-Tx accuracy requirement has not been defined. </w:t>
      </w:r>
      <w:r w:rsidR="00161B34">
        <w:t>In Release 16, when discussing the relative PRS-RSRP accuracy requirements, the following rule was used [2]:</w:t>
      </w:r>
    </w:p>
    <w:tbl>
      <w:tblPr>
        <w:tblStyle w:val="af"/>
        <w:tblW w:w="0" w:type="auto"/>
        <w:tblLook w:val="04A0" w:firstRow="1" w:lastRow="0" w:firstColumn="1" w:lastColumn="0" w:noHBand="0" w:noVBand="1"/>
      </w:tblPr>
      <w:tblGrid>
        <w:gridCol w:w="9631"/>
      </w:tblGrid>
      <w:tr w:rsidR="00161B34" w14:paraId="458D984E" w14:textId="77777777" w:rsidTr="00161B34">
        <w:tc>
          <w:tcPr>
            <w:tcW w:w="9631" w:type="dxa"/>
          </w:tcPr>
          <w:p w14:paraId="18E28824" w14:textId="55BE0EAE" w:rsidR="00161B34" w:rsidRPr="00161B34" w:rsidRDefault="00161B34" w:rsidP="006F53C5">
            <w:pPr>
              <w:spacing w:before="240" w:after="0"/>
              <w:jc w:val="both"/>
              <w:rPr>
                <w:lang w:val="en-US"/>
              </w:rPr>
            </w:pPr>
            <w:r w:rsidRPr="00161B34">
              <w:rPr>
                <w:highlight w:val="yellow"/>
                <w:lang w:val="en-US"/>
              </w:rPr>
              <w:t>The relative RSRP accuracy should be (RSRP95 – RSRP05), which was agreed in R4#98bis-e</w:t>
            </w:r>
            <w:r w:rsidR="00C76164">
              <w:rPr>
                <w:lang w:val="en-US"/>
              </w:rPr>
              <w:t>.</w:t>
            </w:r>
          </w:p>
        </w:tc>
      </w:tr>
    </w:tbl>
    <w:p w14:paraId="6BC8C891" w14:textId="7D32FEF0" w:rsidR="00161B34" w:rsidRDefault="00C76164" w:rsidP="006F53C5">
      <w:pPr>
        <w:spacing w:before="240" w:after="0"/>
        <w:jc w:val="both"/>
      </w:pPr>
      <w:r>
        <w:t xml:space="preserve">In our understanding, </w:t>
      </w:r>
      <w:r w:rsidR="00370F8C">
        <w:t xml:space="preserve">the </w:t>
      </w:r>
      <w:r w:rsidR="00294527">
        <w:t>error from baseband</w:t>
      </w:r>
      <w:r w:rsidR="00370F8C">
        <w:t xml:space="preserve"> of </w:t>
      </w:r>
      <w:r>
        <w:t>the relative Rx-Tx accuracy can follow the same rule:</w:t>
      </w:r>
    </w:p>
    <w:p w14:paraId="7F7AD6C6" w14:textId="38ECE4A6" w:rsidR="00D67292" w:rsidRDefault="00161B34" w:rsidP="006F53C5">
      <w:pPr>
        <w:spacing w:before="240" w:after="0"/>
        <w:jc w:val="both"/>
        <w:rPr>
          <w:lang w:val="en-US"/>
        </w:rPr>
      </w:pPr>
      <w:r w:rsidRPr="00161B34">
        <w:rPr>
          <w:lang w:val="en-US"/>
        </w:rPr>
        <w:t>The</w:t>
      </w:r>
      <w:r w:rsidR="00294527">
        <w:rPr>
          <w:lang w:val="en-US"/>
        </w:rPr>
        <w:t xml:space="preserve"> </w:t>
      </w:r>
      <w:r w:rsidR="00F06388">
        <w:rPr>
          <w:lang w:val="en-US"/>
        </w:rPr>
        <w:t xml:space="preserve">error </w:t>
      </w:r>
      <w:r w:rsidR="00294527">
        <w:rPr>
          <w:lang w:val="en-US"/>
        </w:rPr>
        <w:t xml:space="preserve">from baseband </w:t>
      </w:r>
      <w:r w:rsidR="00F06388">
        <w:rPr>
          <w:lang w:val="en-US"/>
        </w:rPr>
        <w:t xml:space="preserve">of </w:t>
      </w:r>
      <w:r w:rsidRPr="00161B34">
        <w:rPr>
          <w:lang w:val="en-US"/>
        </w:rPr>
        <w:t xml:space="preserve">relative </w:t>
      </w:r>
      <w:r w:rsidR="00D67292">
        <w:rPr>
          <w:lang w:val="en-US"/>
        </w:rPr>
        <w:t>UE Rx-Tx time difference</w:t>
      </w:r>
      <w:r w:rsidRPr="00161B34">
        <w:rPr>
          <w:lang w:val="en-US"/>
        </w:rPr>
        <w:t xml:space="preserve"> accuracy should be (</w:t>
      </w:r>
      <w:r w:rsidR="00D67292">
        <w:rPr>
          <w:lang w:val="en-US"/>
        </w:rPr>
        <w:t>95%-ile of UE Rx errors</w:t>
      </w:r>
      <w:r w:rsidRPr="00161B34">
        <w:rPr>
          <w:lang w:val="en-US"/>
        </w:rPr>
        <w:t xml:space="preserve"> – </w:t>
      </w:r>
      <w:r w:rsidR="00D67292">
        <w:rPr>
          <w:lang w:val="en-US"/>
        </w:rPr>
        <w:t>5%-ile of UE Rx errors).</w:t>
      </w:r>
    </w:p>
    <w:p w14:paraId="291DC081" w14:textId="4571B529" w:rsidR="00D67292" w:rsidRPr="00370F8C" w:rsidRDefault="00D67292" w:rsidP="006F53C5">
      <w:pPr>
        <w:spacing w:before="240" w:after="0"/>
        <w:jc w:val="both"/>
        <w:rPr>
          <w:b/>
          <w:bCs/>
          <w:lang w:val="en-US"/>
        </w:rPr>
      </w:pPr>
      <w:r w:rsidRPr="00370F8C">
        <w:rPr>
          <w:b/>
          <w:bCs/>
          <w:lang w:val="en-US"/>
        </w:rPr>
        <w:t xml:space="preserve">Proposal </w:t>
      </w:r>
      <w:r w:rsidR="00BC506F">
        <w:rPr>
          <w:b/>
          <w:bCs/>
          <w:lang w:val="en-US"/>
        </w:rPr>
        <w:t>4</w:t>
      </w:r>
      <w:r w:rsidRPr="00370F8C">
        <w:rPr>
          <w:b/>
          <w:bCs/>
          <w:lang w:val="en-US"/>
        </w:rPr>
        <w:t xml:space="preserve">: For </w:t>
      </w:r>
      <w:r w:rsidR="00294527">
        <w:rPr>
          <w:b/>
          <w:bCs/>
          <w:lang w:val="en-US"/>
        </w:rPr>
        <w:t xml:space="preserve">the </w:t>
      </w:r>
      <w:r w:rsidR="00370F8C">
        <w:rPr>
          <w:b/>
          <w:bCs/>
          <w:lang w:val="en-US"/>
        </w:rPr>
        <w:t xml:space="preserve">error </w:t>
      </w:r>
      <w:r w:rsidR="00294527">
        <w:rPr>
          <w:b/>
          <w:bCs/>
          <w:lang w:val="en-US"/>
        </w:rPr>
        <w:t xml:space="preserve">from baseband </w:t>
      </w:r>
      <w:r w:rsidR="00370F8C">
        <w:rPr>
          <w:b/>
          <w:bCs/>
          <w:lang w:val="en-US"/>
        </w:rPr>
        <w:t xml:space="preserve">of </w:t>
      </w:r>
      <w:r w:rsidR="00370F8C" w:rsidRPr="00370F8C">
        <w:rPr>
          <w:b/>
          <w:bCs/>
          <w:lang w:val="en-US"/>
        </w:rPr>
        <w:t>relative UE Rx-Tx time difference accuracy, the result of (95%-ile of UE Rx errors</w:t>
      </w:r>
      <w:r w:rsidR="00161B34" w:rsidRPr="00161B34">
        <w:rPr>
          <w:b/>
          <w:bCs/>
          <w:lang w:val="en-US"/>
        </w:rPr>
        <w:t xml:space="preserve"> – </w:t>
      </w:r>
      <w:r w:rsidR="00370F8C" w:rsidRPr="00370F8C">
        <w:rPr>
          <w:b/>
          <w:bCs/>
          <w:lang w:val="en-US"/>
        </w:rPr>
        <w:t>5%-ile of UE Rx errors) can be used.</w:t>
      </w:r>
    </w:p>
    <w:p w14:paraId="3CFFE02C" w14:textId="0729330C" w:rsidR="00F06388" w:rsidRDefault="00370F8C" w:rsidP="006F53C5">
      <w:pPr>
        <w:spacing w:before="240" w:after="0"/>
        <w:jc w:val="both"/>
        <w:rPr>
          <w:lang w:val="en-US"/>
        </w:rPr>
      </w:pPr>
      <w:r>
        <w:rPr>
          <w:rFonts w:hint="eastAsia"/>
          <w:lang w:val="en-US"/>
        </w:rPr>
        <w:t>A</w:t>
      </w:r>
      <w:r>
        <w:rPr>
          <w:lang w:val="en-US"/>
        </w:rPr>
        <w:t>part from the error</w:t>
      </w:r>
      <w:r w:rsidR="00294527">
        <w:rPr>
          <w:lang w:val="en-US"/>
        </w:rPr>
        <w:t xml:space="preserve"> from baseband</w:t>
      </w:r>
      <w:r>
        <w:rPr>
          <w:lang w:val="en-US"/>
        </w:rPr>
        <w:t xml:space="preserve">, the RF margin including group delay calibration margin and frequency drift margin should be considered when defining the </w:t>
      </w:r>
      <w:r>
        <w:t>relative Rx-Tx accuracy requirement.</w:t>
      </w:r>
      <w:r w:rsidR="00F06388">
        <w:t xml:space="preserve"> Due to that the timing error margin can cover both </w:t>
      </w:r>
      <w:r w:rsidR="00F06388">
        <w:rPr>
          <w:lang w:val="en-US"/>
        </w:rPr>
        <w:t xml:space="preserve">group delay calibration margin and frequency drift margin, </w:t>
      </w:r>
      <w:bookmarkStart w:id="7" w:name="_Hlk106811035"/>
      <w:r w:rsidR="00F06388">
        <w:rPr>
          <w:lang w:val="en-US"/>
        </w:rPr>
        <w:t>the relative Rx-T</w:t>
      </w:r>
      <w:r w:rsidR="00BC506F">
        <w:rPr>
          <w:lang w:val="en-US"/>
        </w:rPr>
        <w:t>x</w:t>
      </w:r>
      <w:r w:rsidR="00F06388">
        <w:rPr>
          <w:lang w:val="en-US"/>
        </w:rPr>
        <w:t xml:space="preserve"> accuracy can be defined as the sum of </w:t>
      </w:r>
      <w:r w:rsidR="00F06388" w:rsidRPr="00F06388">
        <w:rPr>
          <w:lang w:val="en-US"/>
        </w:rPr>
        <w:t>the error</w:t>
      </w:r>
      <w:r w:rsidR="00F06388">
        <w:rPr>
          <w:lang w:val="en-US"/>
        </w:rPr>
        <w:t xml:space="preserve"> </w:t>
      </w:r>
      <w:r w:rsidR="00294527">
        <w:rPr>
          <w:lang w:val="en-US"/>
        </w:rPr>
        <w:t xml:space="preserve">from baseband </w:t>
      </w:r>
      <w:r w:rsidR="00F06388">
        <w:rPr>
          <w:lang w:val="en-US"/>
        </w:rPr>
        <w:t>and the timing error margin.</w:t>
      </w:r>
    </w:p>
    <w:bookmarkEnd w:id="7"/>
    <w:p w14:paraId="7E54E832" w14:textId="481295F0" w:rsidR="00370F8C" w:rsidRPr="00BC506F" w:rsidRDefault="00F06388" w:rsidP="006F53C5">
      <w:pPr>
        <w:spacing w:before="240" w:after="0"/>
        <w:jc w:val="both"/>
        <w:rPr>
          <w:b/>
          <w:bCs/>
        </w:rPr>
      </w:pPr>
      <w:r w:rsidRPr="00F06388">
        <w:rPr>
          <w:rFonts w:hint="eastAsia"/>
          <w:b/>
          <w:bCs/>
          <w:lang w:val="en-US"/>
        </w:rPr>
        <w:t>P</w:t>
      </w:r>
      <w:r w:rsidRPr="00F06388">
        <w:rPr>
          <w:b/>
          <w:bCs/>
          <w:lang w:val="en-US"/>
        </w:rPr>
        <w:t xml:space="preserve">roposal </w:t>
      </w:r>
      <w:r w:rsidR="00BC506F">
        <w:rPr>
          <w:b/>
          <w:bCs/>
          <w:lang w:val="en-US"/>
        </w:rPr>
        <w:t>5</w:t>
      </w:r>
      <w:r w:rsidRPr="00F06388">
        <w:rPr>
          <w:b/>
          <w:bCs/>
          <w:lang w:val="en-US"/>
        </w:rPr>
        <w:t>: The relative Rx-T</w:t>
      </w:r>
      <w:r w:rsidR="00BC506F">
        <w:rPr>
          <w:b/>
          <w:bCs/>
          <w:lang w:val="en-US"/>
        </w:rPr>
        <w:t>x</w:t>
      </w:r>
      <w:r w:rsidRPr="00F06388">
        <w:rPr>
          <w:b/>
          <w:bCs/>
          <w:lang w:val="en-US"/>
        </w:rPr>
        <w:t xml:space="preserve"> accuracy can be defined as the sum of the error </w:t>
      </w:r>
      <w:r w:rsidR="00294527">
        <w:rPr>
          <w:b/>
          <w:bCs/>
          <w:lang w:val="en-US"/>
        </w:rPr>
        <w:t xml:space="preserve">from baseband </w:t>
      </w:r>
      <w:r w:rsidRPr="00F06388">
        <w:rPr>
          <w:b/>
          <w:bCs/>
          <w:lang w:val="en-US"/>
        </w:rPr>
        <w:t>and the timing error margin.</w:t>
      </w:r>
    </w:p>
    <w:bookmarkEnd w:id="5"/>
    <w:p w14:paraId="2E5BF008" w14:textId="280BAE24" w:rsidR="0053582C" w:rsidRDefault="00F62E9E" w:rsidP="0053582C">
      <w:pPr>
        <w:pStyle w:val="1"/>
        <w:jc w:val="both"/>
        <w:rPr>
          <w:lang w:val="en-US"/>
        </w:rPr>
      </w:pPr>
      <w:r>
        <w:rPr>
          <w:lang w:val="en-US"/>
        </w:rPr>
        <w:t>Conclusion</w:t>
      </w:r>
    </w:p>
    <w:p w14:paraId="5F37BDC4" w14:textId="5495CEF0" w:rsidR="00A45160" w:rsidRDefault="00A45160" w:rsidP="008373C5">
      <w:pPr>
        <w:spacing w:before="240" w:after="0"/>
        <w:jc w:val="both"/>
      </w:pPr>
      <w:r w:rsidRPr="00A45160">
        <w:t xml:space="preserve">In this contribution we provide our views </w:t>
      </w:r>
      <w:r w:rsidRPr="00A45160">
        <w:rPr>
          <w:lang w:val="en-US"/>
        </w:rPr>
        <w:t>on timing error mitigation mechanisms</w:t>
      </w:r>
      <w:r w:rsidRPr="00A45160">
        <w:t>. Based on analysis following observations and proposals are present.</w:t>
      </w:r>
    </w:p>
    <w:p w14:paraId="29313064" w14:textId="5F1A40FF" w:rsidR="00D34A90" w:rsidRDefault="00D34A90" w:rsidP="00D34A90">
      <w:pPr>
        <w:spacing w:before="240" w:after="0"/>
        <w:jc w:val="both"/>
        <w:rPr>
          <w:rFonts w:eastAsiaTheme="minorEastAsia"/>
          <w:b/>
          <w:bCs/>
        </w:rPr>
      </w:pPr>
      <w:r w:rsidRPr="00FD09E3">
        <w:rPr>
          <w:b/>
          <w:bCs/>
        </w:rPr>
        <w:t xml:space="preserve">Proposal 1: For the candidate timing error margins for RxTx TEGs, we support Option 1, i.e., </w:t>
      </w:r>
      <w:r w:rsidRPr="00ED2E9A">
        <w:rPr>
          <w:rFonts w:eastAsiaTheme="minorEastAsia"/>
          <w:b/>
          <w:bCs/>
        </w:rPr>
        <w:t>1/2 Tc, 1 Tc, 2 Tc, 4 Tc, 8 Tc, 12 Tc, 16 Tc, 20 Tc, 24 Tc, 32 Tc, 40 Tc, 48 Tc, 64 Tc, 80 Tc, 96 Tc, 128 Tc.</w:t>
      </w:r>
    </w:p>
    <w:p w14:paraId="7088D857" w14:textId="77777777" w:rsidR="00D34A90" w:rsidRDefault="00D34A90" w:rsidP="00D34A90">
      <w:pPr>
        <w:spacing w:before="240" w:after="0"/>
        <w:jc w:val="both"/>
        <w:rPr>
          <w:b/>
          <w:bCs/>
        </w:rPr>
      </w:pPr>
      <w:r w:rsidRPr="00BC506F">
        <w:rPr>
          <w:b/>
          <w:bCs/>
        </w:rPr>
        <w:t xml:space="preserve">Proposal 2: </w:t>
      </w:r>
      <w:r>
        <w:rPr>
          <w:b/>
          <w:bCs/>
        </w:rPr>
        <w:t>D</w:t>
      </w:r>
      <w:r w:rsidRPr="00BC506F">
        <w:rPr>
          <w:b/>
          <w:bCs/>
        </w:rPr>
        <w:t>efine the relative Rx-Tx accuracy requirement when the two measurements are in the same UE Rx-Tx TEG.</w:t>
      </w:r>
    </w:p>
    <w:p w14:paraId="4CE07645" w14:textId="77777777" w:rsidR="00D34A90" w:rsidRPr="00BC506F" w:rsidRDefault="00D34A90" w:rsidP="00D34A90">
      <w:pPr>
        <w:spacing w:before="240" w:after="0"/>
        <w:jc w:val="both"/>
        <w:rPr>
          <w:b/>
          <w:bCs/>
        </w:rPr>
      </w:pPr>
      <w:r w:rsidRPr="00BC506F">
        <w:rPr>
          <w:b/>
          <w:bCs/>
        </w:rPr>
        <w:t xml:space="preserve">Proposal </w:t>
      </w:r>
      <w:r>
        <w:rPr>
          <w:b/>
          <w:bCs/>
        </w:rPr>
        <w:t xml:space="preserve">3: Define the test case for </w:t>
      </w:r>
      <w:r w:rsidRPr="00BC506F">
        <w:rPr>
          <w:b/>
          <w:bCs/>
        </w:rPr>
        <w:t>UE Rx-Tx time difference measurement accuracy requirements related to TEGs</w:t>
      </w:r>
      <w:r>
        <w:rPr>
          <w:b/>
          <w:bCs/>
        </w:rPr>
        <w:t>.</w:t>
      </w:r>
    </w:p>
    <w:p w14:paraId="31E6C50E" w14:textId="77777777" w:rsidR="00294527" w:rsidRPr="00370F8C" w:rsidRDefault="00294527" w:rsidP="00294527">
      <w:pPr>
        <w:spacing w:before="240" w:after="0"/>
        <w:jc w:val="both"/>
        <w:rPr>
          <w:b/>
          <w:bCs/>
          <w:lang w:val="en-US"/>
        </w:rPr>
      </w:pPr>
      <w:r w:rsidRPr="00370F8C">
        <w:rPr>
          <w:b/>
          <w:bCs/>
          <w:lang w:val="en-US"/>
        </w:rPr>
        <w:t xml:space="preserve">Proposal </w:t>
      </w:r>
      <w:r>
        <w:rPr>
          <w:b/>
          <w:bCs/>
          <w:lang w:val="en-US"/>
        </w:rPr>
        <w:t>4</w:t>
      </w:r>
      <w:r w:rsidRPr="00370F8C">
        <w:rPr>
          <w:b/>
          <w:bCs/>
          <w:lang w:val="en-US"/>
        </w:rPr>
        <w:t xml:space="preserve">: For </w:t>
      </w:r>
      <w:r>
        <w:rPr>
          <w:b/>
          <w:bCs/>
          <w:lang w:val="en-US"/>
        </w:rPr>
        <w:t xml:space="preserve">the error from baseband of </w:t>
      </w:r>
      <w:r w:rsidRPr="00370F8C">
        <w:rPr>
          <w:b/>
          <w:bCs/>
          <w:lang w:val="en-US"/>
        </w:rPr>
        <w:t>relative UE Rx-Tx time difference accuracy, the result of (95%-ile of UE Rx errors</w:t>
      </w:r>
      <w:r w:rsidRPr="00161B34">
        <w:rPr>
          <w:b/>
          <w:bCs/>
          <w:lang w:val="en-US"/>
        </w:rPr>
        <w:t xml:space="preserve"> – </w:t>
      </w:r>
      <w:r w:rsidRPr="00370F8C">
        <w:rPr>
          <w:b/>
          <w:bCs/>
          <w:lang w:val="en-US"/>
        </w:rPr>
        <w:t>5%-ile of UE Rx errors) can be used.</w:t>
      </w:r>
    </w:p>
    <w:p w14:paraId="2FD89085" w14:textId="77777777" w:rsidR="00294527" w:rsidRPr="00BC506F" w:rsidRDefault="00294527" w:rsidP="00294527">
      <w:pPr>
        <w:spacing w:before="240" w:after="0"/>
        <w:jc w:val="both"/>
        <w:rPr>
          <w:b/>
          <w:bCs/>
        </w:rPr>
      </w:pPr>
      <w:r w:rsidRPr="00F06388">
        <w:rPr>
          <w:rFonts w:hint="eastAsia"/>
          <w:b/>
          <w:bCs/>
          <w:lang w:val="en-US"/>
        </w:rPr>
        <w:t>P</w:t>
      </w:r>
      <w:r w:rsidRPr="00F06388">
        <w:rPr>
          <w:b/>
          <w:bCs/>
          <w:lang w:val="en-US"/>
        </w:rPr>
        <w:t xml:space="preserve">roposal </w:t>
      </w:r>
      <w:r>
        <w:rPr>
          <w:b/>
          <w:bCs/>
          <w:lang w:val="en-US"/>
        </w:rPr>
        <w:t>5</w:t>
      </w:r>
      <w:r w:rsidRPr="00F06388">
        <w:rPr>
          <w:b/>
          <w:bCs/>
          <w:lang w:val="en-US"/>
        </w:rPr>
        <w:t>: The relative Rx-T</w:t>
      </w:r>
      <w:r>
        <w:rPr>
          <w:b/>
          <w:bCs/>
          <w:lang w:val="en-US"/>
        </w:rPr>
        <w:t>x</w:t>
      </w:r>
      <w:r w:rsidRPr="00F06388">
        <w:rPr>
          <w:b/>
          <w:bCs/>
          <w:lang w:val="en-US"/>
        </w:rPr>
        <w:t xml:space="preserve"> accuracy can be defined as the sum of the error </w:t>
      </w:r>
      <w:r>
        <w:rPr>
          <w:b/>
          <w:bCs/>
          <w:lang w:val="en-US"/>
        </w:rPr>
        <w:t xml:space="preserve">from baseband </w:t>
      </w:r>
      <w:r w:rsidRPr="00F06388">
        <w:rPr>
          <w:b/>
          <w:bCs/>
          <w:lang w:val="en-US"/>
        </w:rPr>
        <w:t>and the timing error margin.</w:t>
      </w:r>
    </w:p>
    <w:p w14:paraId="41AD21AA" w14:textId="53EB5287" w:rsidR="00F62E9E" w:rsidRDefault="00174A69" w:rsidP="00DC62EC">
      <w:pPr>
        <w:pStyle w:val="1"/>
        <w:numPr>
          <w:ilvl w:val="0"/>
          <w:numId w:val="0"/>
        </w:numPr>
        <w:jc w:val="both"/>
        <w:rPr>
          <w:rFonts w:ascii="Times New Roman" w:hAnsi="Times New Roman"/>
        </w:rPr>
      </w:pPr>
      <w:r w:rsidRPr="00086BFD">
        <w:rPr>
          <w:rFonts w:ascii="Times New Roman" w:hAnsi="Times New Roman"/>
        </w:rPr>
        <w:lastRenderedPageBreak/>
        <w:t>References</w:t>
      </w:r>
    </w:p>
    <w:p w14:paraId="22B95364" w14:textId="665DFD5A" w:rsidR="003662D2" w:rsidRDefault="00D730DE" w:rsidP="00AD4B14">
      <w:pPr>
        <w:pStyle w:val="a8"/>
        <w:numPr>
          <w:ilvl w:val="0"/>
          <w:numId w:val="4"/>
        </w:numPr>
        <w:overflowPunct/>
        <w:autoSpaceDE/>
        <w:autoSpaceDN/>
        <w:adjustRightInd/>
        <w:spacing w:before="240" w:after="0"/>
        <w:ind w:firstLineChars="0"/>
        <w:textAlignment w:val="auto"/>
      </w:pPr>
      <w:r w:rsidRPr="00D730DE">
        <w:t>R4-2</w:t>
      </w:r>
      <w:r w:rsidR="00155A41">
        <w:rPr>
          <w:rFonts w:hint="eastAsia"/>
        </w:rPr>
        <w:t>2</w:t>
      </w:r>
      <w:r w:rsidR="000D6D2D">
        <w:t>10602</w:t>
      </w:r>
      <w:r>
        <w:t xml:space="preserve"> </w:t>
      </w:r>
      <w:r w:rsidRPr="00D730DE">
        <w:t>WF on NR Positioning Enhancements (Part 2)</w:t>
      </w:r>
    </w:p>
    <w:p w14:paraId="3ECD6320" w14:textId="07055B4D" w:rsidR="00161B34" w:rsidRDefault="00161B34" w:rsidP="00AD4B14">
      <w:pPr>
        <w:pStyle w:val="a8"/>
        <w:numPr>
          <w:ilvl w:val="0"/>
          <w:numId w:val="4"/>
        </w:numPr>
        <w:overflowPunct/>
        <w:autoSpaceDE/>
        <w:autoSpaceDN/>
        <w:adjustRightInd/>
        <w:spacing w:before="240" w:after="0"/>
        <w:ind w:firstLineChars="0"/>
        <w:textAlignment w:val="auto"/>
      </w:pPr>
      <w:r>
        <w:rPr>
          <w:rFonts w:hint="eastAsia"/>
        </w:rPr>
        <w:t>R</w:t>
      </w:r>
      <w:r>
        <w:t>4-2108040 WF on NR Positioning Performance Requirements</w:t>
      </w:r>
    </w:p>
    <w:p w14:paraId="30BC68CD" w14:textId="4738FFD1" w:rsidR="0042204F" w:rsidRPr="004B6D49" w:rsidRDefault="0042204F" w:rsidP="004B6D49">
      <w:pPr>
        <w:tabs>
          <w:tab w:val="left" w:pos="3420"/>
        </w:tabs>
        <w:overflowPunct/>
        <w:autoSpaceDE/>
        <w:autoSpaceDN/>
        <w:adjustRightInd/>
        <w:spacing w:after="120"/>
        <w:ind w:left="2268" w:hanging="2268"/>
        <w:textAlignment w:val="auto"/>
        <w:rPr>
          <w:rFonts w:cs="Arial"/>
          <w:bCs/>
          <w:lang w:eastAsia="en-US"/>
        </w:rPr>
      </w:pPr>
    </w:p>
    <w:sectPr w:rsidR="0042204F" w:rsidRPr="004B6D49" w:rsidSect="00DE115A">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AF5022" w14:textId="77777777" w:rsidR="004E05D4" w:rsidRDefault="004E05D4" w:rsidP="00174A69">
      <w:pPr>
        <w:spacing w:after="0"/>
      </w:pPr>
      <w:r>
        <w:separator/>
      </w:r>
    </w:p>
  </w:endnote>
  <w:endnote w:type="continuationSeparator" w:id="0">
    <w:p w14:paraId="13D69F06" w14:textId="77777777" w:rsidR="004E05D4" w:rsidRDefault="004E05D4" w:rsidP="00174A6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Microsoft Sans Serif">
    <w:panose1 w:val="020B0604020202020204"/>
    <w:charset w:val="00"/>
    <w:family w:val="swiss"/>
    <w:pitch w:val="variable"/>
    <w:sig w:usb0="E5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BE8F69" w14:textId="77777777" w:rsidR="00DE115A" w:rsidRDefault="00E07E04">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1E36CE" w14:textId="77777777" w:rsidR="004E05D4" w:rsidRDefault="004E05D4" w:rsidP="00174A69">
      <w:pPr>
        <w:spacing w:after="0"/>
      </w:pPr>
      <w:r>
        <w:separator/>
      </w:r>
    </w:p>
  </w:footnote>
  <w:footnote w:type="continuationSeparator" w:id="0">
    <w:p w14:paraId="1D8D1569" w14:textId="77777777" w:rsidR="004E05D4" w:rsidRDefault="004E05D4" w:rsidP="00174A6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87A6033"/>
    <w:multiLevelType w:val="hybridMultilevel"/>
    <w:tmpl w:val="8B862FD2"/>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 w15:restartNumberingAfterBreak="0">
    <w:nsid w:val="0AEB19BD"/>
    <w:multiLevelType w:val="hybridMultilevel"/>
    <w:tmpl w:val="1B561400"/>
    <w:lvl w:ilvl="0" w:tplc="2FF42842">
      <w:start w:val="1"/>
      <w:numFmt w:val="bullet"/>
      <w:lvlText w:val=""/>
      <w:lvlJc w:val="left"/>
      <w:pPr>
        <w:ind w:left="704" w:hanging="420"/>
      </w:pPr>
      <w:rPr>
        <w:rFonts w:ascii="Wingdings" w:hAnsi="Wingdings" w:hint="default"/>
      </w:rPr>
    </w:lvl>
    <w:lvl w:ilvl="1" w:tplc="2FF42842">
      <w:start w:val="1"/>
      <w:numFmt w:val="bullet"/>
      <w:lvlText w:val=""/>
      <w:lvlJc w:val="left"/>
      <w:pPr>
        <w:ind w:left="1124" w:hanging="420"/>
      </w:pPr>
      <w:rPr>
        <w:rFonts w:ascii="Wingdings" w:hAnsi="Wingdings" w:hint="default"/>
      </w:rPr>
    </w:lvl>
    <w:lvl w:ilvl="2" w:tplc="2FF42842">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 w15:restartNumberingAfterBreak="0">
    <w:nsid w:val="0C623CCF"/>
    <w:multiLevelType w:val="multilevel"/>
    <w:tmpl w:val="363E4790"/>
    <w:lvl w:ilvl="0">
      <w:start w:val="1"/>
      <w:numFmt w:val="bullet"/>
      <w:lvlText w:val="●"/>
      <w:lvlJc w:val="left"/>
      <w:pPr>
        <w:ind w:left="284" w:hanging="284"/>
      </w:pPr>
      <w:rPr>
        <w:rFonts w:ascii="Times New Roman" w:hAnsi="Times New Roman" w:cs="Times New Roman" w:hint="default"/>
        <w:sz w:val="22"/>
        <w:szCs w:val="22"/>
      </w:rPr>
    </w:lvl>
    <w:lvl w:ilvl="1">
      <w:start w:val="1"/>
      <w:numFmt w:val="bullet"/>
      <w:lvlText w:val=""/>
      <w:lvlJc w:val="left"/>
      <w:pPr>
        <w:ind w:left="567" w:hanging="283"/>
      </w:pPr>
      <w:rPr>
        <w:rFonts w:ascii="Symbol" w:hAnsi="Symbol" w:hint="default"/>
        <w:sz w:val="22"/>
        <w:szCs w:val="22"/>
      </w:rPr>
    </w:lvl>
    <w:lvl w:ilvl="2">
      <w:start w:val="1"/>
      <w:numFmt w:val="bullet"/>
      <w:lvlText w:val="♦"/>
      <w:lvlJc w:val="left"/>
      <w:pPr>
        <w:ind w:left="851" w:hanging="284"/>
      </w:pPr>
      <w:rPr>
        <w:rFonts w:ascii="Times New Roman" w:hAnsi="Times New Roman" w:cs="Times New Roman" w:hint="default"/>
        <w:sz w:val="22"/>
        <w:szCs w:val="22"/>
      </w:rPr>
    </w:lvl>
    <w:lvl w:ilvl="3">
      <w:start w:val="1"/>
      <w:numFmt w:val="bullet"/>
      <w:lvlText w:val="□"/>
      <w:lvlJc w:val="left"/>
      <w:pPr>
        <w:ind w:left="1134" w:hanging="283"/>
      </w:pPr>
      <w:rPr>
        <w:rFonts w:ascii="Times New Roman" w:hAnsi="Times New Roman" w:cs="Times New Roman" w:hint="default"/>
      </w:rPr>
    </w:lvl>
    <w:lvl w:ilvl="4">
      <w:start w:val="1"/>
      <w:numFmt w:val="bullet"/>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4" w15:restartNumberingAfterBreak="0">
    <w:nsid w:val="11023775"/>
    <w:multiLevelType w:val="hybridMultilevel"/>
    <w:tmpl w:val="8784769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17D44688"/>
    <w:multiLevelType w:val="hybridMultilevel"/>
    <w:tmpl w:val="1AF8EE3E"/>
    <w:lvl w:ilvl="0" w:tplc="041D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A5A270E"/>
    <w:multiLevelType w:val="multilevel"/>
    <w:tmpl w:val="07E42F5E"/>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681"/>
        </w:tabs>
        <w:ind w:left="284" w:firstLine="0"/>
      </w:pPr>
      <w:rPr>
        <w:rFonts w:hint="eastAsia"/>
        <w:b w:val="0"/>
        <w:bCs w:val="0"/>
      </w:rPr>
    </w:lvl>
    <w:lvl w:ilvl="2">
      <w:start w:val="1"/>
      <w:numFmt w:val="decimal"/>
      <w:pStyle w:val="3"/>
      <w:lvlText w:val="%1.%2.%3"/>
      <w:lvlJc w:val="left"/>
      <w:pPr>
        <w:tabs>
          <w:tab w:val="num" w:pos="4083"/>
        </w:tabs>
        <w:ind w:left="3913" w:hanging="510"/>
      </w:pPr>
      <w:rPr>
        <w:rFonts w:hint="eastAsia"/>
      </w:rPr>
    </w:lvl>
    <w:lvl w:ilvl="3">
      <w:start w:val="1"/>
      <w:numFmt w:val="decimal"/>
      <w:pStyle w:val="4"/>
      <w:lvlText w:val="%1.%2.%3.%4"/>
      <w:lvlJc w:val="left"/>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7" w15:restartNumberingAfterBreak="0">
    <w:nsid w:val="1A927A96"/>
    <w:multiLevelType w:val="hybridMultilevel"/>
    <w:tmpl w:val="56BA6E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4C84183"/>
    <w:multiLevelType w:val="multilevel"/>
    <w:tmpl w:val="24C8418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6443205"/>
    <w:multiLevelType w:val="hybridMultilevel"/>
    <w:tmpl w:val="3F12077C"/>
    <w:lvl w:ilvl="0" w:tplc="041D0003">
      <w:start w:val="1"/>
      <w:numFmt w:val="bullet"/>
      <w:lvlText w:val="o"/>
      <w:lvlJc w:val="left"/>
      <w:pPr>
        <w:ind w:left="720" w:hanging="360"/>
      </w:pPr>
      <w:rPr>
        <w:rFonts w:ascii="Courier New" w:hAnsi="Courier New" w:cs="Courier New"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37C96455"/>
    <w:multiLevelType w:val="hybridMultilevel"/>
    <w:tmpl w:val="AE3E1E5C"/>
    <w:lvl w:ilvl="0" w:tplc="04090001">
      <w:start w:val="1"/>
      <w:numFmt w:val="bullet"/>
      <w:lvlText w:val=""/>
      <w:lvlJc w:val="left"/>
      <w:pPr>
        <w:ind w:left="1220" w:hanging="420"/>
      </w:pPr>
      <w:rPr>
        <w:rFonts w:ascii="Symbol" w:hAnsi="Symbol" w:hint="default"/>
      </w:rPr>
    </w:lvl>
    <w:lvl w:ilvl="1" w:tplc="04090003" w:tentative="1">
      <w:start w:val="1"/>
      <w:numFmt w:val="bullet"/>
      <w:lvlText w:val=""/>
      <w:lvlJc w:val="left"/>
      <w:pPr>
        <w:ind w:left="1640" w:hanging="420"/>
      </w:pPr>
      <w:rPr>
        <w:rFonts w:ascii="Wingdings" w:hAnsi="Wingdings" w:hint="default"/>
      </w:rPr>
    </w:lvl>
    <w:lvl w:ilvl="2" w:tplc="04090005"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abstractNum w:abstractNumId="11" w15:restartNumberingAfterBreak="0">
    <w:nsid w:val="3AD37A3D"/>
    <w:multiLevelType w:val="multilevel"/>
    <w:tmpl w:val="3AD37A3D"/>
    <w:lvl w:ilvl="0">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2" w15:restartNumberingAfterBreak="0">
    <w:nsid w:val="40E8498F"/>
    <w:multiLevelType w:val="hybridMultilevel"/>
    <w:tmpl w:val="61403DCC"/>
    <w:lvl w:ilvl="0" w:tplc="3CA02B30">
      <w:start w:val="1"/>
      <w:numFmt w:val="bullet"/>
      <w:lvlText w:val="•"/>
      <w:lvlJc w:val="left"/>
      <w:pPr>
        <w:tabs>
          <w:tab w:val="num" w:pos="720"/>
        </w:tabs>
        <w:ind w:left="720" w:hanging="360"/>
      </w:pPr>
      <w:rPr>
        <w:rFonts w:ascii="Arial" w:hAnsi="Arial" w:hint="default"/>
      </w:rPr>
    </w:lvl>
    <w:lvl w:ilvl="1" w:tplc="5510CAAA" w:tentative="1">
      <w:start w:val="1"/>
      <w:numFmt w:val="bullet"/>
      <w:lvlText w:val="•"/>
      <w:lvlJc w:val="left"/>
      <w:pPr>
        <w:tabs>
          <w:tab w:val="num" w:pos="1440"/>
        </w:tabs>
        <w:ind w:left="1440" w:hanging="360"/>
      </w:pPr>
      <w:rPr>
        <w:rFonts w:ascii="Arial" w:hAnsi="Arial" w:hint="default"/>
      </w:rPr>
    </w:lvl>
    <w:lvl w:ilvl="2" w:tplc="68EC7C5A" w:tentative="1">
      <w:start w:val="1"/>
      <w:numFmt w:val="bullet"/>
      <w:lvlText w:val="•"/>
      <w:lvlJc w:val="left"/>
      <w:pPr>
        <w:tabs>
          <w:tab w:val="num" w:pos="2160"/>
        </w:tabs>
        <w:ind w:left="2160" w:hanging="360"/>
      </w:pPr>
      <w:rPr>
        <w:rFonts w:ascii="Arial" w:hAnsi="Arial" w:hint="default"/>
      </w:rPr>
    </w:lvl>
    <w:lvl w:ilvl="3" w:tplc="29667720" w:tentative="1">
      <w:start w:val="1"/>
      <w:numFmt w:val="bullet"/>
      <w:lvlText w:val="•"/>
      <w:lvlJc w:val="left"/>
      <w:pPr>
        <w:tabs>
          <w:tab w:val="num" w:pos="2880"/>
        </w:tabs>
        <w:ind w:left="2880" w:hanging="360"/>
      </w:pPr>
      <w:rPr>
        <w:rFonts w:ascii="Arial" w:hAnsi="Arial" w:hint="default"/>
      </w:rPr>
    </w:lvl>
    <w:lvl w:ilvl="4" w:tplc="74BA8742" w:tentative="1">
      <w:start w:val="1"/>
      <w:numFmt w:val="bullet"/>
      <w:lvlText w:val="•"/>
      <w:lvlJc w:val="left"/>
      <w:pPr>
        <w:tabs>
          <w:tab w:val="num" w:pos="3600"/>
        </w:tabs>
        <w:ind w:left="3600" w:hanging="360"/>
      </w:pPr>
      <w:rPr>
        <w:rFonts w:ascii="Arial" w:hAnsi="Arial" w:hint="default"/>
      </w:rPr>
    </w:lvl>
    <w:lvl w:ilvl="5" w:tplc="930255A4" w:tentative="1">
      <w:start w:val="1"/>
      <w:numFmt w:val="bullet"/>
      <w:lvlText w:val="•"/>
      <w:lvlJc w:val="left"/>
      <w:pPr>
        <w:tabs>
          <w:tab w:val="num" w:pos="4320"/>
        </w:tabs>
        <w:ind w:left="4320" w:hanging="360"/>
      </w:pPr>
      <w:rPr>
        <w:rFonts w:ascii="Arial" w:hAnsi="Arial" w:hint="default"/>
      </w:rPr>
    </w:lvl>
    <w:lvl w:ilvl="6" w:tplc="F420FA20" w:tentative="1">
      <w:start w:val="1"/>
      <w:numFmt w:val="bullet"/>
      <w:lvlText w:val="•"/>
      <w:lvlJc w:val="left"/>
      <w:pPr>
        <w:tabs>
          <w:tab w:val="num" w:pos="5040"/>
        </w:tabs>
        <w:ind w:left="5040" w:hanging="360"/>
      </w:pPr>
      <w:rPr>
        <w:rFonts w:ascii="Arial" w:hAnsi="Arial" w:hint="default"/>
      </w:rPr>
    </w:lvl>
    <w:lvl w:ilvl="7" w:tplc="50F2AFEC" w:tentative="1">
      <w:start w:val="1"/>
      <w:numFmt w:val="bullet"/>
      <w:lvlText w:val="•"/>
      <w:lvlJc w:val="left"/>
      <w:pPr>
        <w:tabs>
          <w:tab w:val="num" w:pos="5760"/>
        </w:tabs>
        <w:ind w:left="5760" w:hanging="360"/>
      </w:pPr>
      <w:rPr>
        <w:rFonts w:ascii="Arial" w:hAnsi="Arial" w:hint="default"/>
      </w:rPr>
    </w:lvl>
    <w:lvl w:ilvl="8" w:tplc="741E4030"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1D01BAD"/>
    <w:multiLevelType w:val="multilevel"/>
    <w:tmpl w:val="41D01BAD"/>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4" w15:restartNumberingAfterBreak="0">
    <w:nsid w:val="4A2E0D04"/>
    <w:multiLevelType w:val="multilevel"/>
    <w:tmpl w:val="EEDAAB52"/>
    <w:lvl w:ilvl="0">
      <w:start w:val="1"/>
      <w:numFmt w:val="bullet"/>
      <w:lvlText w:val="●"/>
      <w:lvlJc w:val="left"/>
      <w:pPr>
        <w:ind w:left="284" w:hanging="284"/>
      </w:pPr>
      <w:rPr>
        <w:rFonts w:ascii="Times New Roman" w:hAnsi="Times New Roman" w:cs="Times New Roman" w:hint="default"/>
        <w:sz w:val="22"/>
        <w:szCs w:val="22"/>
      </w:rPr>
    </w:lvl>
    <w:lvl w:ilvl="1">
      <w:start w:val="1"/>
      <w:numFmt w:val="bullet"/>
      <w:lvlText w:val="○"/>
      <w:lvlJc w:val="left"/>
      <w:pPr>
        <w:ind w:left="567" w:hanging="283"/>
      </w:pPr>
      <w:rPr>
        <w:rFonts w:ascii="Times New Roman" w:hAnsi="Times New Roman" w:cs="Times New Roman" w:hint="default"/>
        <w:sz w:val="22"/>
        <w:szCs w:val="22"/>
      </w:rPr>
    </w:lvl>
    <w:lvl w:ilvl="2">
      <w:start w:val="1"/>
      <w:numFmt w:val="bullet"/>
      <w:lvlText w:val="♦"/>
      <w:lvlJc w:val="left"/>
      <w:pPr>
        <w:ind w:left="851" w:hanging="284"/>
      </w:pPr>
      <w:rPr>
        <w:rFonts w:ascii="Times New Roman" w:hAnsi="Times New Roman" w:cs="Times New Roman" w:hint="default"/>
        <w:sz w:val="22"/>
        <w:szCs w:val="22"/>
      </w:rPr>
    </w:lvl>
    <w:lvl w:ilvl="3">
      <w:start w:val="1"/>
      <w:numFmt w:val="bullet"/>
      <w:lvlText w:val="o"/>
      <w:lvlJc w:val="left"/>
      <w:pPr>
        <w:ind w:left="1134" w:hanging="283"/>
      </w:pPr>
      <w:rPr>
        <w:rFonts w:ascii="Courier New" w:hAnsi="Courier New" w:cs="Courier New" w:hint="default"/>
      </w:rPr>
    </w:lvl>
    <w:lvl w:ilvl="4">
      <w:start w:val="1"/>
      <w:numFmt w:val="bullet"/>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15" w15:restartNumberingAfterBreak="0">
    <w:nsid w:val="4C064FF2"/>
    <w:multiLevelType w:val="hybridMultilevel"/>
    <w:tmpl w:val="8C4A65D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8B73482"/>
    <w:multiLevelType w:val="multilevel"/>
    <w:tmpl w:val="58B73482"/>
    <w:lvl w:ilvl="0">
      <w:start w:val="1"/>
      <w:numFmt w:val="bullet"/>
      <w:lvlText w:val=""/>
      <w:lvlJc w:val="left"/>
      <w:pPr>
        <w:ind w:left="1758" w:hanging="360"/>
      </w:pPr>
      <w:rPr>
        <w:rFonts w:ascii="Symbol" w:hAnsi="Symbol" w:hint="default"/>
      </w:rPr>
    </w:lvl>
    <w:lvl w:ilvl="1">
      <w:start w:val="1"/>
      <w:numFmt w:val="bullet"/>
      <w:lvlText w:val="o"/>
      <w:lvlJc w:val="left"/>
      <w:pPr>
        <w:ind w:left="2478" w:hanging="360"/>
      </w:pPr>
      <w:rPr>
        <w:rFonts w:ascii="Courier New" w:hAnsi="Courier New" w:cs="Courier New" w:hint="default"/>
      </w:rPr>
    </w:lvl>
    <w:lvl w:ilvl="2">
      <w:start w:val="1"/>
      <w:numFmt w:val="bullet"/>
      <w:lvlText w:val=""/>
      <w:lvlJc w:val="left"/>
      <w:pPr>
        <w:ind w:left="3198" w:hanging="360"/>
      </w:pPr>
      <w:rPr>
        <w:rFonts w:ascii="Wingdings" w:hAnsi="Wingdings" w:hint="default"/>
      </w:rPr>
    </w:lvl>
    <w:lvl w:ilvl="3">
      <w:start w:val="1"/>
      <w:numFmt w:val="bullet"/>
      <w:lvlText w:val=""/>
      <w:lvlJc w:val="left"/>
      <w:pPr>
        <w:ind w:left="3918" w:hanging="360"/>
      </w:pPr>
      <w:rPr>
        <w:rFonts w:ascii="Symbol" w:hAnsi="Symbol" w:hint="default"/>
      </w:rPr>
    </w:lvl>
    <w:lvl w:ilvl="4">
      <w:start w:val="1"/>
      <w:numFmt w:val="bullet"/>
      <w:lvlText w:val="o"/>
      <w:lvlJc w:val="left"/>
      <w:pPr>
        <w:ind w:left="4638" w:hanging="360"/>
      </w:pPr>
      <w:rPr>
        <w:rFonts w:ascii="Courier New" w:hAnsi="Courier New" w:cs="Courier New" w:hint="default"/>
      </w:rPr>
    </w:lvl>
    <w:lvl w:ilvl="5">
      <w:start w:val="1"/>
      <w:numFmt w:val="bullet"/>
      <w:lvlText w:val=""/>
      <w:lvlJc w:val="left"/>
      <w:pPr>
        <w:ind w:left="5358" w:hanging="360"/>
      </w:pPr>
      <w:rPr>
        <w:rFonts w:ascii="Wingdings" w:hAnsi="Wingdings" w:hint="default"/>
      </w:rPr>
    </w:lvl>
    <w:lvl w:ilvl="6">
      <w:start w:val="1"/>
      <w:numFmt w:val="bullet"/>
      <w:lvlText w:val=""/>
      <w:lvlJc w:val="left"/>
      <w:pPr>
        <w:ind w:left="6078" w:hanging="360"/>
      </w:pPr>
      <w:rPr>
        <w:rFonts w:ascii="Symbol" w:hAnsi="Symbol" w:hint="default"/>
      </w:rPr>
    </w:lvl>
    <w:lvl w:ilvl="7">
      <w:start w:val="1"/>
      <w:numFmt w:val="bullet"/>
      <w:lvlText w:val="o"/>
      <w:lvlJc w:val="left"/>
      <w:pPr>
        <w:ind w:left="6798" w:hanging="360"/>
      </w:pPr>
      <w:rPr>
        <w:rFonts w:ascii="Courier New" w:hAnsi="Courier New" w:cs="Courier New" w:hint="default"/>
      </w:rPr>
    </w:lvl>
    <w:lvl w:ilvl="8">
      <w:start w:val="1"/>
      <w:numFmt w:val="bullet"/>
      <w:lvlText w:val=""/>
      <w:lvlJc w:val="left"/>
      <w:pPr>
        <w:ind w:left="7518" w:hanging="360"/>
      </w:pPr>
      <w:rPr>
        <w:rFonts w:ascii="Wingdings" w:hAnsi="Wingdings" w:hint="default"/>
      </w:rPr>
    </w:lvl>
  </w:abstractNum>
  <w:abstractNum w:abstractNumId="17" w15:restartNumberingAfterBreak="0">
    <w:nsid w:val="59623AF7"/>
    <w:multiLevelType w:val="hybridMultilevel"/>
    <w:tmpl w:val="AD9E16F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5CE46012"/>
    <w:multiLevelType w:val="multilevel"/>
    <w:tmpl w:val="96BE66EA"/>
    <w:lvl w:ilvl="0">
      <w:start w:val="1"/>
      <w:numFmt w:val="bullet"/>
      <w:lvlText w:val="●"/>
      <w:lvlJc w:val="left"/>
      <w:pPr>
        <w:ind w:left="284" w:hanging="284"/>
      </w:pPr>
      <w:rPr>
        <w:rFonts w:ascii="Times New Roman" w:hAnsi="Times New Roman" w:cs="Times New Roman" w:hint="default"/>
        <w:sz w:val="22"/>
        <w:szCs w:val="22"/>
      </w:rPr>
    </w:lvl>
    <w:lvl w:ilvl="1">
      <w:start w:val="1"/>
      <w:numFmt w:val="bullet"/>
      <w:lvlText w:val="○"/>
      <w:lvlJc w:val="left"/>
      <w:pPr>
        <w:ind w:left="567" w:hanging="283"/>
      </w:pPr>
      <w:rPr>
        <w:rFonts w:ascii="Times New Roman" w:hAnsi="Times New Roman" w:cs="Times New Roman" w:hint="default"/>
        <w:sz w:val="22"/>
        <w:szCs w:val="22"/>
      </w:rPr>
    </w:lvl>
    <w:lvl w:ilvl="2">
      <w:start w:val="1"/>
      <w:numFmt w:val="bullet"/>
      <w:lvlText w:val="−"/>
      <w:lvlJc w:val="left"/>
      <w:pPr>
        <w:ind w:left="851" w:hanging="284"/>
      </w:pPr>
      <w:rPr>
        <w:rFonts w:ascii="Arial" w:hAnsi="Arial" w:cs="Arial" w:hint="default"/>
        <w:sz w:val="22"/>
        <w:szCs w:val="22"/>
      </w:rPr>
    </w:lvl>
    <w:lvl w:ilvl="3">
      <w:start w:val="1"/>
      <w:numFmt w:val="bullet"/>
      <w:lvlText w:val="□"/>
      <w:lvlJc w:val="left"/>
      <w:pPr>
        <w:ind w:left="1134" w:hanging="283"/>
      </w:pPr>
      <w:rPr>
        <w:rFonts w:ascii="Times New Roman" w:hAnsi="Times New Roman" w:cs="Times New Roman" w:hint="default"/>
      </w:rPr>
    </w:lvl>
    <w:lvl w:ilvl="4">
      <w:start w:val="1"/>
      <w:numFmt w:val="bullet"/>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19" w15:restartNumberingAfterBreak="0">
    <w:nsid w:val="5FE63590"/>
    <w:multiLevelType w:val="hybridMultilevel"/>
    <w:tmpl w:val="2D489B7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6CDE4BC1"/>
    <w:multiLevelType w:val="hybridMultilevel"/>
    <w:tmpl w:val="141A9342"/>
    <w:lvl w:ilvl="0" w:tplc="2FF42842">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71D25A25"/>
    <w:multiLevelType w:val="hybridMultilevel"/>
    <w:tmpl w:val="1C24DE14"/>
    <w:lvl w:ilvl="0" w:tplc="DD56BEB8">
      <w:start w:val="2"/>
      <w:numFmt w:val="bullet"/>
      <w:lvlText w:val="-"/>
      <w:lvlJc w:val="left"/>
      <w:pPr>
        <w:ind w:left="1140" w:hanging="420"/>
      </w:pPr>
      <w:rPr>
        <w:rFonts w:ascii="Calibri" w:eastAsia="Calibri" w:hAnsi="Calibri"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3" w15:restartNumberingAfterBreak="0">
    <w:nsid w:val="7581155B"/>
    <w:multiLevelType w:val="hybridMultilevel"/>
    <w:tmpl w:val="7D080EB4"/>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24" w15:restartNumberingAfterBreak="0">
    <w:nsid w:val="75D376A5"/>
    <w:multiLevelType w:val="hybridMultilevel"/>
    <w:tmpl w:val="D152B0B6"/>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start w:val="1"/>
      <w:numFmt w:val="bullet"/>
      <w:lvlText w:val=""/>
      <w:lvlJc w:val="left"/>
      <w:pPr>
        <w:ind w:left="2368" w:hanging="360"/>
      </w:pPr>
      <w:rPr>
        <w:rFonts w:ascii="Wingdings" w:hAnsi="Wingdings" w:hint="default"/>
      </w:rPr>
    </w:lvl>
    <w:lvl w:ilvl="3" w:tplc="041D0001">
      <w:start w:val="1"/>
      <w:numFmt w:val="bullet"/>
      <w:lvlText w:val=""/>
      <w:lvlJc w:val="left"/>
      <w:pPr>
        <w:ind w:left="3088" w:hanging="360"/>
      </w:pPr>
      <w:rPr>
        <w:rFonts w:ascii="Symbol" w:hAnsi="Symbol" w:hint="default"/>
      </w:rPr>
    </w:lvl>
    <w:lvl w:ilvl="4" w:tplc="041D0003">
      <w:start w:val="1"/>
      <w:numFmt w:val="bullet"/>
      <w:lvlText w:val="o"/>
      <w:lvlJc w:val="left"/>
      <w:pPr>
        <w:ind w:left="3808" w:hanging="360"/>
      </w:pPr>
      <w:rPr>
        <w:rFonts w:ascii="Courier New" w:hAnsi="Courier New" w:cs="Courier New" w:hint="default"/>
      </w:rPr>
    </w:lvl>
    <w:lvl w:ilvl="5" w:tplc="041D0005">
      <w:start w:val="1"/>
      <w:numFmt w:val="bullet"/>
      <w:lvlText w:val=""/>
      <w:lvlJc w:val="left"/>
      <w:pPr>
        <w:ind w:left="4528" w:hanging="360"/>
      </w:pPr>
      <w:rPr>
        <w:rFonts w:ascii="Wingdings" w:hAnsi="Wingdings" w:hint="default"/>
      </w:rPr>
    </w:lvl>
    <w:lvl w:ilvl="6" w:tplc="041D0001">
      <w:start w:val="1"/>
      <w:numFmt w:val="bullet"/>
      <w:lvlText w:val=""/>
      <w:lvlJc w:val="left"/>
      <w:pPr>
        <w:ind w:left="5248" w:hanging="360"/>
      </w:pPr>
      <w:rPr>
        <w:rFonts w:ascii="Symbol" w:hAnsi="Symbol" w:hint="default"/>
      </w:rPr>
    </w:lvl>
    <w:lvl w:ilvl="7" w:tplc="041D0003">
      <w:start w:val="1"/>
      <w:numFmt w:val="bullet"/>
      <w:lvlText w:val="o"/>
      <w:lvlJc w:val="left"/>
      <w:pPr>
        <w:ind w:left="5968" w:hanging="360"/>
      </w:pPr>
      <w:rPr>
        <w:rFonts w:ascii="Courier New" w:hAnsi="Courier New" w:cs="Courier New" w:hint="default"/>
      </w:rPr>
    </w:lvl>
    <w:lvl w:ilvl="8" w:tplc="041D0005">
      <w:start w:val="1"/>
      <w:numFmt w:val="bullet"/>
      <w:lvlText w:val=""/>
      <w:lvlJc w:val="left"/>
      <w:pPr>
        <w:ind w:left="6688" w:hanging="360"/>
      </w:pPr>
      <w:rPr>
        <w:rFonts w:ascii="Wingdings" w:hAnsi="Wingdings" w:hint="default"/>
      </w:rPr>
    </w:lvl>
  </w:abstractNum>
  <w:abstractNum w:abstractNumId="25" w15:restartNumberingAfterBreak="0">
    <w:nsid w:val="7E5D06B1"/>
    <w:multiLevelType w:val="hybridMultilevel"/>
    <w:tmpl w:val="480205CA"/>
    <w:lvl w:ilvl="0" w:tplc="041D0001">
      <w:start w:val="1"/>
      <w:numFmt w:val="bullet"/>
      <w:lvlText w:val=""/>
      <w:lvlJc w:val="left"/>
      <w:pPr>
        <w:ind w:left="720" w:hanging="360"/>
      </w:pPr>
      <w:rPr>
        <w:rFonts w:ascii="Symbol" w:hAnsi="Symbol" w:hint="default"/>
      </w:rPr>
    </w:lvl>
    <w:lvl w:ilvl="1" w:tplc="041D0001">
      <w:start w:val="1"/>
      <w:numFmt w:val="bullet"/>
      <w:lvlText w:val=""/>
      <w:lvlJc w:val="left"/>
      <w:pPr>
        <w:ind w:left="1440" w:hanging="360"/>
      </w:pPr>
      <w:rPr>
        <w:rFonts w:ascii="Symbol" w:hAnsi="Symbol"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16cid:durableId="1309437609">
    <w:abstractNumId w:val="6"/>
  </w:num>
  <w:num w:numId="2" w16cid:durableId="2025402497">
    <w:abstractNumId w:val="5"/>
  </w:num>
  <w:num w:numId="3" w16cid:durableId="1655717703">
    <w:abstractNumId w:val="23"/>
  </w:num>
  <w:num w:numId="4" w16cid:durableId="1189641908">
    <w:abstractNumId w:val="1"/>
  </w:num>
  <w:num w:numId="5" w16cid:durableId="1333412556">
    <w:abstractNumId w:val="0"/>
  </w:num>
  <w:num w:numId="6" w16cid:durableId="471562165">
    <w:abstractNumId w:val="22"/>
  </w:num>
  <w:num w:numId="7" w16cid:durableId="1698921518">
    <w:abstractNumId w:val="7"/>
  </w:num>
  <w:num w:numId="8" w16cid:durableId="1481924305">
    <w:abstractNumId w:val="25"/>
  </w:num>
  <w:num w:numId="9" w16cid:durableId="835415097">
    <w:abstractNumId w:val="20"/>
  </w:num>
  <w:num w:numId="10" w16cid:durableId="1960067244">
    <w:abstractNumId w:val="10"/>
  </w:num>
  <w:num w:numId="11" w16cid:durableId="37434238">
    <w:abstractNumId w:val="17"/>
  </w:num>
  <w:num w:numId="12" w16cid:durableId="498935158">
    <w:abstractNumId w:val="4"/>
  </w:num>
  <w:num w:numId="13" w16cid:durableId="965113604">
    <w:abstractNumId w:val="9"/>
  </w:num>
  <w:num w:numId="14" w16cid:durableId="1817526101">
    <w:abstractNumId w:val="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5" w16cid:durableId="1614364028">
    <w:abstractNumId w:val="1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6" w16cid:durableId="1197429278">
    <w:abstractNumId w:val="1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7" w16cid:durableId="357588742">
    <w:abstractNumId w:val="24"/>
  </w:num>
  <w:num w:numId="18" w16cid:durableId="276106696">
    <w:abstractNumId w:val="16"/>
  </w:num>
  <w:num w:numId="19" w16cid:durableId="2084058444">
    <w:abstractNumId w:val="19"/>
  </w:num>
  <w:num w:numId="20" w16cid:durableId="1384866430">
    <w:abstractNumId w:val="21"/>
  </w:num>
  <w:num w:numId="21" w16cid:durableId="816847051">
    <w:abstractNumId w:val="11"/>
  </w:num>
  <w:num w:numId="22" w16cid:durableId="324626029">
    <w:abstractNumId w:val="8"/>
  </w:num>
  <w:num w:numId="23" w16cid:durableId="1235627227">
    <w:abstractNumId w:val="13"/>
  </w:num>
  <w:num w:numId="24" w16cid:durableId="1784885089">
    <w:abstractNumId w:val="20"/>
  </w:num>
  <w:num w:numId="25" w16cid:durableId="2089425015">
    <w:abstractNumId w:val="16"/>
  </w:num>
  <w:num w:numId="26" w16cid:durableId="776559488">
    <w:abstractNumId w:val="2"/>
  </w:num>
  <w:num w:numId="27" w16cid:durableId="22290721">
    <w:abstractNumId w:val="13"/>
  </w:num>
  <w:num w:numId="28" w16cid:durableId="130709128">
    <w:abstractNumId w:val="15"/>
  </w:num>
  <w:num w:numId="29" w16cid:durableId="1855028747">
    <w:abstractNumId w:val="16"/>
  </w:num>
  <w:num w:numId="30" w16cid:durableId="324862761">
    <w:abstractNumId w:val="1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proofState w:grammar="clean"/>
  <w:defaultTabStop w:val="4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493F"/>
    <w:rsid w:val="00001592"/>
    <w:rsid w:val="00001A23"/>
    <w:rsid w:val="0000283B"/>
    <w:rsid w:val="00002D1F"/>
    <w:rsid w:val="000057A7"/>
    <w:rsid w:val="000057E5"/>
    <w:rsid w:val="000071AF"/>
    <w:rsid w:val="00012E3B"/>
    <w:rsid w:val="00013FA1"/>
    <w:rsid w:val="0001751F"/>
    <w:rsid w:val="00024DCF"/>
    <w:rsid w:val="00026E26"/>
    <w:rsid w:val="00030138"/>
    <w:rsid w:val="00032220"/>
    <w:rsid w:val="000322C7"/>
    <w:rsid w:val="00032F86"/>
    <w:rsid w:val="000331D5"/>
    <w:rsid w:val="000333F7"/>
    <w:rsid w:val="00033B1C"/>
    <w:rsid w:val="00040DA9"/>
    <w:rsid w:val="00043629"/>
    <w:rsid w:val="00044C5C"/>
    <w:rsid w:val="00045F3B"/>
    <w:rsid w:val="00046F46"/>
    <w:rsid w:val="00055E00"/>
    <w:rsid w:val="00060BAC"/>
    <w:rsid w:val="0006302B"/>
    <w:rsid w:val="00071BA4"/>
    <w:rsid w:val="00071BAF"/>
    <w:rsid w:val="0007251B"/>
    <w:rsid w:val="00073F01"/>
    <w:rsid w:val="000809A4"/>
    <w:rsid w:val="0008234F"/>
    <w:rsid w:val="00084E79"/>
    <w:rsid w:val="00095478"/>
    <w:rsid w:val="00095A5B"/>
    <w:rsid w:val="000A5A61"/>
    <w:rsid w:val="000A5D84"/>
    <w:rsid w:val="000B10DD"/>
    <w:rsid w:val="000B36B5"/>
    <w:rsid w:val="000B37B2"/>
    <w:rsid w:val="000B4DF3"/>
    <w:rsid w:val="000B5318"/>
    <w:rsid w:val="000B7A0C"/>
    <w:rsid w:val="000C22C1"/>
    <w:rsid w:val="000D0729"/>
    <w:rsid w:val="000D5768"/>
    <w:rsid w:val="000D59E8"/>
    <w:rsid w:val="000D6D2D"/>
    <w:rsid w:val="000E03E4"/>
    <w:rsid w:val="000F1897"/>
    <w:rsid w:val="000F7991"/>
    <w:rsid w:val="00101336"/>
    <w:rsid w:val="001013AE"/>
    <w:rsid w:val="00106519"/>
    <w:rsid w:val="00124FAF"/>
    <w:rsid w:val="00133ACA"/>
    <w:rsid w:val="00134FA4"/>
    <w:rsid w:val="00136DC9"/>
    <w:rsid w:val="00141CB3"/>
    <w:rsid w:val="001421FC"/>
    <w:rsid w:val="0014327A"/>
    <w:rsid w:val="00154814"/>
    <w:rsid w:val="0015562F"/>
    <w:rsid w:val="00155A41"/>
    <w:rsid w:val="00155E53"/>
    <w:rsid w:val="0015766A"/>
    <w:rsid w:val="00161B34"/>
    <w:rsid w:val="00165A75"/>
    <w:rsid w:val="001739A1"/>
    <w:rsid w:val="001746BE"/>
    <w:rsid w:val="00174A69"/>
    <w:rsid w:val="00174D56"/>
    <w:rsid w:val="001762BD"/>
    <w:rsid w:val="00176755"/>
    <w:rsid w:val="00177EE4"/>
    <w:rsid w:val="001842C8"/>
    <w:rsid w:val="00185B57"/>
    <w:rsid w:val="00191D95"/>
    <w:rsid w:val="00192C81"/>
    <w:rsid w:val="001933DB"/>
    <w:rsid w:val="001953DD"/>
    <w:rsid w:val="001A05FD"/>
    <w:rsid w:val="001A0E9C"/>
    <w:rsid w:val="001A151F"/>
    <w:rsid w:val="001A1A63"/>
    <w:rsid w:val="001A4D5D"/>
    <w:rsid w:val="001A7387"/>
    <w:rsid w:val="001B12A8"/>
    <w:rsid w:val="001B3C35"/>
    <w:rsid w:val="001C10A1"/>
    <w:rsid w:val="001C15D8"/>
    <w:rsid w:val="001C4432"/>
    <w:rsid w:val="001C639E"/>
    <w:rsid w:val="001D01FF"/>
    <w:rsid w:val="001D3CB0"/>
    <w:rsid w:val="001D68FA"/>
    <w:rsid w:val="001D7307"/>
    <w:rsid w:val="001E5753"/>
    <w:rsid w:val="001E6379"/>
    <w:rsid w:val="001E6555"/>
    <w:rsid w:val="002059B6"/>
    <w:rsid w:val="00206D22"/>
    <w:rsid w:val="002134AC"/>
    <w:rsid w:val="00213C92"/>
    <w:rsid w:val="00215C6C"/>
    <w:rsid w:val="00224C17"/>
    <w:rsid w:val="00226193"/>
    <w:rsid w:val="00227832"/>
    <w:rsid w:val="00231E33"/>
    <w:rsid w:val="002357FD"/>
    <w:rsid w:val="00237610"/>
    <w:rsid w:val="00240447"/>
    <w:rsid w:val="0024524E"/>
    <w:rsid w:val="00245B32"/>
    <w:rsid w:val="00247CB2"/>
    <w:rsid w:val="0025262A"/>
    <w:rsid w:val="00261FA9"/>
    <w:rsid w:val="00263F44"/>
    <w:rsid w:val="00266ABC"/>
    <w:rsid w:val="00272555"/>
    <w:rsid w:val="00275442"/>
    <w:rsid w:val="002902B1"/>
    <w:rsid w:val="00294527"/>
    <w:rsid w:val="00294788"/>
    <w:rsid w:val="00297BCB"/>
    <w:rsid w:val="002A3306"/>
    <w:rsid w:val="002A34AC"/>
    <w:rsid w:val="002A468B"/>
    <w:rsid w:val="002A58DF"/>
    <w:rsid w:val="002B3D9A"/>
    <w:rsid w:val="002B4F9C"/>
    <w:rsid w:val="002B549C"/>
    <w:rsid w:val="002B602F"/>
    <w:rsid w:val="002B63DB"/>
    <w:rsid w:val="002B68DF"/>
    <w:rsid w:val="002B7BA3"/>
    <w:rsid w:val="002B7E2B"/>
    <w:rsid w:val="002C0CBC"/>
    <w:rsid w:val="002C3F7C"/>
    <w:rsid w:val="002D019F"/>
    <w:rsid w:val="002D0C93"/>
    <w:rsid w:val="002D1C54"/>
    <w:rsid w:val="002D298A"/>
    <w:rsid w:val="002D3A0D"/>
    <w:rsid w:val="002E0AAC"/>
    <w:rsid w:val="002E53BE"/>
    <w:rsid w:val="002F45CC"/>
    <w:rsid w:val="002F581C"/>
    <w:rsid w:val="00303271"/>
    <w:rsid w:val="003078AF"/>
    <w:rsid w:val="00311086"/>
    <w:rsid w:val="003141DF"/>
    <w:rsid w:val="0031607F"/>
    <w:rsid w:val="00325D5D"/>
    <w:rsid w:val="003260BB"/>
    <w:rsid w:val="0032637F"/>
    <w:rsid w:val="00332418"/>
    <w:rsid w:val="00340D62"/>
    <w:rsid w:val="00344254"/>
    <w:rsid w:val="00345C3C"/>
    <w:rsid w:val="00346B9B"/>
    <w:rsid w:val="00351810"/>
    <w:rsid w:val="003529DC"/>
    <w:rsid w:val="00363E13"/>
    <w:rsid w:val="003662D2"/>
    <w:rsid w:val="00370F8C"/>
    <w:rsid w:val="00373157"/>
    <w:rsid w:val="003744F9"/>
    <w:rsid w:val="003819BE"/>
    <w:rsid w:val="00384ECA"/>
    <w:rsid w:val="00385CC7"/>
    <w:rsid w:val="003866D5"/>
    <w:rsid w:val="003A2204"/>
    <w:rsid w:val="003A37A9"/>
    <w:rsid w:val="003A4D28"/>
    <w:rsid w:val="003B21B0"/>
    <w:rsid w:val="003B371A"/>
    <w:rsid w:val="003B41FA"/>
    <w:rsid w:val="003B5BAB"/>
    <w:rsid w:val="003C0000"/>
    <w:rsid w:val="003C4ED6"/>
    <w:rsid w:val="003C64A6"/>
    <w:rsid w:val="003D0532"/>
    <w:rsid w:val="003D0989"/>
    <w:rsid w:val="003D387E"/>
    <w:rsid w:val="003D5A5A"/>
    <w:rsid w:val="003E4831"/>
    <w:rsid w:val="003E67A3"/>
    <w:rsid w:val="003F2C1A"/>
    <w:rsid w:val="003F5EB1"/>
    <w:rsid w:val="00400617"/>
    <w:rsid w:val="00400CD6"/>
    <w:rsid w:val="0040100D"/>
    <w:rsid w:val="0040464F"/>
    <w:rsid w:val="0040474E"/>
    <w:rsid w:val="00413F0F"/>
    <w:rsid w:val="004166F2"/>
    <w:rsid w:val="00416D9E"/>
    <w:rsid w:val="0042204F"/>
    <w:rsid w:val="00426714"/>
    <w:rsid w:val="004311FB"/>
    <w:rsid w:val="004318BB"/>
    <w:rsid w:val="0043621D"/>
    <w:rsid w:val="00440B6D"/>
    <w:rsid w:val="0044112A"/>
    <w:rsid w:val="00443B10"/>
    <w:rsid w:val="0044441F"/>
    <w:rsid w:val="00452728"/>
    <w:rsid w:val="004667A3"/>
    <w:rsid w:val="00467BC9"/>
    <w:rsid w:val="00472771"/>
    <w:rsid w:val="00475AEF"/>
    <w:rsid w:val="004762FF"/>
    <w:rsid w:val="0047655F"/>
    <w:rsid w:val="00486976"/>
    <w:rsid w:val="004911D7"/>
    <w:rsid w:val="004A1F19"/>
    <w:rsid w:val="004A74CB"/>
    <w:rsid w:val="004B3E05"/>
    <w:rsid w:val="004B53BE"/>
    <w:rsid w:val="004B6D49"/>
    <w:rsid w:val="004C7187"/>
    <w:rsid w:val="004D05E4"/>
    <w:rsid w:val="004D091A"/>
    <w:rsid w:val="004E05D4"/>
    <w:rsid w:val="004E163B"/>
    <w:rsid w:val="004E5D33"/>
    <w:rsid w:val="004F1F42"/>
    <w:rsid w:val="004F2342"/>
    <w:rsid w:val="004F4FE7"/>
    <w:rsid w:val="004F658A"/>
    <w:rsid w:val="004F6B7B"/>
    <w:rsid w:val="0050153D"/>
    <w:rsid w:val="005024A1"/>
    <w:rsid w:val="00502642"/>
    <w:rsid w:val="0050465F"/>
    <w:rsid w:val="0050706A"/>
    <w:rsid w:val="005102BB"/>
    <w:rsid w:val="00517743"/>
    <w:rsid w:val="00517D65"/>
    <w:rsid w:val="00535254"/>
    <w:rsid w:val="0053582C"/>
    <w:rsid w:val="00543003"/>
    <w:rsid w:val="005449F4"/>
    <w:rsid w:val="005465C8"/>
    <w:rsid w:val="005476D8"/>
    <w:rsid w:val="00551A19"/>
    <w:rsid w:val="0055230D"/>
    <w:rsid w:val="00557E91"/>
    <w:rsid w:val="005613EC"/>
    <w:rsid w:val="00576754"/>
    <w:rsid w:val="00580AEF"/>
    <w:rsid w:val="005821BC"/>
    <w:rsid w:val="00596867"/>
    <w:rsid w:val="005A0DEE"/>
    <w:rsid w:val="005A6816"/>
    <w:rsid w:val="005B25E8"/>
    <w:rsid w:val="005C27AF"/>
    <w:rsid w:val="005C2FEA"/>
    <w:rsid w:val="005C33AC"/>
    <w:rsid w:val="005C33E9"/>
    <w:rsid w:val="005D2F11"/>
    <w:rsid w:val="005D504D"/>
    <w:rsid w:val="005D5331"/>
    <w:rsid w:val="005D5D91"/>
    <w:rsid w:val="005E0CB4"/>
    <w:rsid w:val="005E2BB9"/>
    <w:rsid w:val="005E348D"/>
    <w:rsid w:val="005E52D0"/>
    <w:rsid w:val="005E7ED9"/>
    <w:rsid w:val="005F0144"/>
    <w:rsid w:val="005F3220"/>
    <w:rsid w:val="005F3D10"/>
    <w:rsid w:val="005F5FD3"/>
    <w:rsid w:val="005F7005"/>
    <w:rsid w:val="00602356"/>
    <w:rsid w:val="0060294E"/>
    <w:rsid w:val="00604ADE"/>
    <w:rsid w:val="00605514"/>
    <w:rsid w:val="00613648"/>
    <w:rsid w:val="00622FE6"/>
    <w:rsid w:val="00625427"/>
    <w:rsid w:val="0062559E"/>
    <w:rsid w:val="006340B3"/>
    <w:rsid w:val="006350A4"/>
    <w:rsid w:val="00637708"/>
    <w:rsid w:val="00641237"/>
    <w:rsid w:val="00641BE2"/>
    <w:rsid w:val="00646022"/>
    <w:rsid w:val="00646E74"/>
    <w:rsid w:val="00647BBD"/>
    <w:rsid w:val="00652651"/>
    <w:rsid w:val="00654BE5"/>
    <w:rsid w:val="00655A23"/>
    <w:rsid w:val="00655E99"/>
    <w:rsid w:val="006651BB"/>
    <w:rsid w:val="006703FA"/>
    <w:rsid w:val="00670627"/>
    <w:rsid w:val="006778EA"/>
    <w:rsid w:val="00677EEE"/>
    <w:rsid w:val="00677F0C"/>
    <w:rsid w:val="00682394"/>
    <w:rsid w:val="00682915"/>
    <w:rsid w:val="00695D35"/>
    <w:rsid w:val="006A49D9"/>
    <w:rsid w:val="006A696E"/>
    <w:rsid w:val="006B08E0"/>
    <w:rsid w:val="006B4F98"/>
    <w:rsid w:val="006B574F"/>
    <w:rsid w:val="006B5B6F"/>
    <w:rsid w:val="006C0BEA"/>
    <w:rsid w:val="006C3776"/>
    <w:rsid w:val="006C6115"/>
    <w:rsid w:val="006C6AB0"/>
    <w:rsid w:val="006D5281"/>
    <w:rsid w:val="006E4098"/>
    <w:rsid w:val="006F3B68"/>
    <w:rsid w:val="006F4F23"/>
    <w:rsid w:val="006F53C5"/>
    <w:rsid w:val="0070356F"/>
    <w:rsid w:val="00704C32"/>
    <w:rsid w:val="007122A0"/>
    <w:rsid w:val="00716090"/>
    <w:rsid w:val="00724CB8"/>
    <w:rsid w:val="007306BD"/>
    <w:rsid w:val="00732A53"/>
    <w:rsid w:val="00735ED6"/>
    <w:rsid w:val="00742590"/>
    <w:rsid w:val="00743B4E"/>
    <w:rsid w:val="00744172"/>
    <w:rsid w:val="00746460"/>
    <w:rsid w:val="00750536"/>
    <w:rsid w:val="00754521"/>
    <w:rsid w:val="00756C96"/>
    <w:rsid w:val="0076001F"/>
    <w:rsid w:val="007627D2"/>
    <w:rsid w:val="00762EB9"/>
    <w:rsid w:val="00765793"/>
    <w:rsid w:val="00771B83"/>
    <w:rsid w:val="00777126"/>
    <w:rsid w:val="0077734A"/>
    <w:rsid w:val="00784BED"/>
    <w:rsid w:val="007873C5"/>
    <w:rsid w:val="00790604"/>
    <w:rsid w:val="007938F2"/>
    <w:rsid w:val="00794539"/>
    <w:rsid w:val="00794771"/>
    <w:rsid w:val="007A1339"/>
    <w:rsid w:val="007A26DA"/>
    <w:rsid w:val="007A4B28"/>
    <w:rsid w:val="007A6915"/>
    <w:rsid w:val="007A742B"/>
    <w:rsid w:val="007B2098"/>
    <w:rsid w:val="007B5A5A"/>
    <w:rsid w:val="007C49D2"/>
    <w:rsid w:val="007C6D6D"/>
    <w:rsid w:val="007D03CF"/>
    <w:rsid w:val="007D5D93"/>
    <w:rsid w:val="007D7E42"/>
    <w:rsid w:val="007E3F87"/>
    <w:rsid w:val="007E469B"/>
    <w:rsid w:val="007E7501"/>
    <w:rsid w:val="007F0EFF"/>
    <w:rsid w:val="007F1A68"/>
    <w:rsid w:val="007F39DA"/>
    <w:rsid w:val="007F3F88"/>
    <w:rsid w:val="007F73C0"/>
    <w:rsid w:val="00806577"/>
    <w:rsid w:val="00807829"/>
    <w:rsid w:val="00810FC3"/>
    <w:rsid w:val="00813124"/>
    <w:rsid w:val="008171CA"/>
    <w:rsid w:val="00824541"/>
    <w:rsid w:val="0082643B"/>
    <w:rsid w:val="00827AD2"/>
    <w:rsid w:val="00834D81"/>
    <w:rsid w:val="00836C2F"/>
    <w:rsid w:val="008373C5"/>
    <w:rsid w:val="00844919"/>
    <w:rsid w:val="008461FD"/>
    <w:rsid w:val="00846C8B"/>
    <w:rsid w:val="00853633"/>
    <w:rsid w:val="00854BFB"/>
    <w:rsid w:val="0085597B"/>
    <w:rsid w:val="00857762"/>
    <w:rsid w:val="00873AD3"/>
    <w:rsid w:val="0087626A"/>
    <w:rsid w:val="0087700D"/>
    <w:rsid w:val="00877BC7"/>
    <w:rsid w:val="00877DAE"/>
    <w:rsid w:val="0088002A"/>
    <w:rsid w:val="00880E02"/>
    <w:rsid w:val="0088189B"/>
    <w:rsid w:val="00885EBC"/>
    <w:rsid w:val="008901EF"/>
    <w:rsid w:val="008941BD"/>
    <w:rsid w:val="00894904"/>
    <w:rsid w:val="008978C4"/>
    <w:rsid w:val="008A0FF8"/>
    <w:rsid w:val="008A28DD"/>
    <w:rsid w:val="008A3C8C"/>
    <w:rsid w:val="008A50F4"/>
    <w:rsid w:val="008A5D00"/>
    <w:rsid w:val="008B3685"/>
    <w:rsid w:val="008B3857"/>
    <w:rsid w:val="008B5C68"/>
    <w:rsid w:val="008B6E32"/>
    <w:rsid w:val="008D14A1"/>
    <w:rsid w:val="008D29FB"/>
    <w:rsid w:val="008D2C18"/>
    <w:rsid w:val="008D2C20"/>
    <w:rsid w:val="008D6ED1"/>
    <w:rsid w:val="008E3347"/>
    <w:rsid w:val="008E4808"/>
    <w:rsid w:val="008F0D98"/>
    <w:rsid w:val="008F16A7"/>
    <w:rsid w:val="008F30F0"/>
    <w:rsid w:val="008F47C9"/>
    <w:rsid w:val="008F7B7A"/>
    <w:rsid w:val="00903E3D"/>
    <w:rsid w:val="00904494"/>
    <w:rsid w:val="009057E1"/>
    <w:rsid w:val="009075EC"/>
    <w:rsid w:val="00910BDA"/>
    <w:rsid w:val="00912F38"/>
    <w:rsid w:val="00917A81"/>
    <w:rsid w:val="00917B54"/>
    <w:rsid w:val="00917EB8"/>
    <w:rsid w:val="009236AB"/>
    <w:rsid w:val="00924506"/>
    <w:rsid w:val="00931459"/>
    <w:rsid w:val="00931851"/>
    <w:rsid w:val="009374BD"/>
    <w:rsid w:val="0094080A"/>
    <w:rsid w:val="00945905"/>
    <w:rsid w:val="00946647"/>
    <w:rsid w:val="009475A4"/>
    <w:rsid w:val="009535E6"/>
    <w:rsid w:val="009566C0"/>
    <w:rsid w:val="00960EAB"/>
    <w:rsid w:val="009649D1"/>
    <w:rsid w:val="009705D0"/>
    <w:rsid w:val="00980E9B"/>
    <w:rsid w:val="00982373"/>
    <w:rsid w:val="0099493F"/>
    <w:rsid w:val="009950C0"/>
    <w:rsid w:val="009A0048"/>
    <w:rsid w:val="009A3308"/>
    <w:rsid w:val="009A3874"/>
    <w:rsid w:val="009A459B"/>
    <w:rsid w:val="009A5FAD"/>
    <w:rsid w:val="009B085E"/>
    <w:rsid w:val="009B1788"/>
    <w:rsid w:val="009B6F65"/>
    <w:rsid w:val="009C23C7"/>
    <w:rsid w:val="009D1D34"/>
    <w:rsid w:val="009D44DA"/>
    <w:rsid w:val="009D691B"/>
    <w:rsid w:val="009E0CF6"/>
    <w:rsid w:val="009E31DD"/>
    <w:rsid w:val="009E6B37"/>
    <w:rsid w:val="009F1079"/>
    <w:rsid w:val="009F433A"/>
    <w:rsid w:val="00A02C7D"/>
    <w:rsid w:val="00A04EEA"/>
    <w:rsid w:val="00A146DC"/>
    <w:rsid w:val="00A1528E"/>
    <w:rsid w:val="00A15645"/>
    <w:rsid w:val="00A222E9"/>
    <w:rsid w:val="00A2377B"/>
    <w:rsid w:val="00A30FB5"/>
    <w:rsid w:val="00A31E20"/>
    <w:rsid w:val="00A32639"/>
    <w:rsid w:val="00A32D95"/>
    <w:rsid w:val="00A3701F"/>
    <w:rsid w:val="00A40FB4"/>
    <w:rsid w:val="00A42E74"/>
    <w:rsid w:val="00A43D4E"/>
    <w:rsid w:val="00A45160"/>
    <w:rsid w:val="00A45CBC"/>
    <w:rsid w:val="00A53202"/>
    <w:rsid w:val="00A55836"/>
    <w:rsid w:val="00A601C9"/>
    <w:rsid w:val="00A61DE5"/>
    <w:rsid w:val="00A6390A"/>
    <w:rsid w:val="00A639C4"/>
    <w:rsid w:val="00A66104"/>
    <w:rsid w:val="00A700BE"/>
    <w:rsid w:val="00A71DCB"/>
    <w:rsid w:val="00A725C9"/>
    <w:rsid w:val="00A72D1C"/>
    <w:rsid w:val="00A73D06"/>
    <w:rsid w:val="00A74C70"/>
    <w:rsid w:val="00A772DC"/>
    <w:rsid w:val="00A7750B"/>
    <w:rsid w:val="00A83598"/>
    <w:rsid w:val="00A85737"/>
    <w:rsid w:val="00A868BF"/>
    <w:rsid w:val="00A951FD"/>
    <w:rsid w:val="00AA13E1"/>
    <w:rsid w:val="00AA489F"/>
    <w:rsid w:val="00AA69B5"/>
    <w:rsid w:val="00AB637F"/>
    <w:rsid w:val="00AB79DB"/>
    <w:rsid w:val="00AC3CD2"/>
    <w:rsid w:val="00AD11C2"/>
    <w:rsid w:val="00AD427D"/>
    <w:rsid w:val="00AD4B14"/>
    <w:rsid w:val="00AD4C00"/>
    <w:rsid w:val="00AD582C"/>
    <w:rsid w:val="00AD59F1"/>
    <w:rsid w:val="00AD5E58"/>
    <w:rsid w:val="00AF17E1"/>
    <w:rsid w:val="00AF4EFD"/>
    <w:rsid w:val="00B0772B"/>
    <w:rsid w:val="00B20DC8"/>
    <w:rsid w:val="00B26242"/>
    <w:rsid w:val="00B3082F"/>
    <w:rsid w:val="00B30BC0"/>
    <w:rsid w:val="00B321A7"/>
    <w:rsid w:val="00B3446B"/>
    <w:rsid w:val="00B34ED4"/>
    <w:rsid w:val="00B64F60"/>
    <w:rsid w:val="00B727EC"/>
    <w:rsid w:val="00B73806"/>
    <w:rsid w:val="00B73CC5"/>
    <w:rsid w:val="00B761DC"/>
    <w:rsid w:val="00B8062A"/>
    <w:rsid w:val="00B90658"/>
    <w:rsid w:val="00BA0FC0"/>
    <w:rsid w:val="00BA4716"/>
    <w:rsid w:val="00BA52AC"/>
    <w:rsid w:val="00BB4E40"/>
    <w:rsid w:val="00BB4FBC"/>
    <w:rsid w:val="00BB5DFF"/>
    <w:rsid w:val="00BB6293"/>
    <w:rsid w:val="00BB6F50"/>
    <w:rsid w:val="00BC0DF2"/>
    <w:rsid w:val="00BC506F"/>
    <w:rsid w:val="00BC68DA"/>
    <w:rsid w:val="00BC7893"/>
    <w:rsid w:val="00BD3A93"/>
    <w:rsid w:val="00BE072E"/>
    <w:rsid w:val="00BE183D"/>
    <w:rsid w:val="00BF2E5B"/>
    <w:rsid w:val="00BF6432"/>
    <w:rsid w:val="00C0416D"/>
    <w:rsid w:val="00C058A1"/>
    <w:rsid w:val="00C1082E"/>
    <w:rsid w:val="00C110B6"/>
    <w:rsid w:val="00C110DA"/>
    <w:rsid w:val="00C13298"/>
    <w:rsid w:val="00C15247"/>
    <w:rsid w:val="00C173EC"/>
    <w:rsid w:val="00C177A8"/>
    <w:rsid w:val="00C17E05"/>
    <w:rsid w:val="00C21066"/>
    <w:rsid w:val="00C527EE"/>
    <w:rsid w:val="00C619C5"/>
    <w:rsid w:val="00C63F6D"/>
    <w:rsid w:val="00C64E7E"/>
    <w:rsid w:val="00C66BFC"/>
    <w:rsid w:val="00C725C4"/>
    <w:rsid w:val="00C76164"/>
    <w:rsid w:val="00C77648"/>
    <w:rsid w:val="00C812DB"/>
    <w:rsid w:val="00C82807"/>
    <w:rsid w:val="00C93A76"/>
    <w:rsid w:val="00C951F6"/>
    <w:rsid w:val="00CA2C4A"/>
    <w:rsid w:val="00CA3AAE"/>
    <w:rsid w:val="00CB06A9"/>
    <w:rsid w:val="00CB2A5C"/>
    <w:rsid w:val="00CB37E4"/>
    <w:rsid w:val="00CB50EF"/>
    <w:rsid w:val="00CB7635"/>
    <w:rsid w:val="00CC0FED"/>
    <w:rsid w:val="00CC5DC1"/>
    <w:rsid w:val="00CD0F55"/>
    <w:rsid w:val="00CE36CE"/>
    <w:rsid w:val="00CE45DC"/>
    <w:rsid w:val="00CE5349"/>
    <w:rsid w:val="00CF5601"/>
    <w:rsid w:val="00CF62D1"/>
    <w:rsid w:val="00CF6A2F"/>
    <w:rsid w:val="00D01086"/>
    <w:rsid w:val="00D13719"/>
    <w:rsid w:val="00D13CE8"/>
    <w:rsid w:val="00D144FF"/>
    <w:rsid w:val="00D167EA"/>
    <w:rsid w:val="00D22275"/>
    <w:rsid w:val="00D31C34"/>
    <w:rsid w:val="00D3305D"/>
    <w:rsid w:val="00D341B2"/>
    <w:rsid w:val="00D34A90"/>
    <w:rsid w:val="00D353C5"/>
    <w:rsid w:val="00D360EB"/>
    <w:rsid w:val="00D36CDC"/>
    <w:rsid w:val="00D44243"/>
    <w:rsid w:val="00D50831"/>
    <w:rsid w:val="00D52FF2"/>
    <w:rsid w:val="00D55C53"/>
    <w:rsid w:val="00D63454"/>
    <w:rsid w:val="00D63BAF"/>
    <w:rsid w:val="00D67292"/>
    <w:rsid w:val="00D71DCA"/>
    <w:rsid w:val="00D72706"/>
    <w:rsid w:val="00D730DE"/>
    <w:rsid w:val="00D76166"/>
    <w:rsid w:val="00D80C84"/>
    <w:rsid w:val="00D84F12"/>
    <w:rsid w:val="00D86695"/>
    <w:rsid w:val="00D86C48"/>
    <w:rsid w:val="00D879E8"/>
    <w:rsid w:val="00D87E1E"/>
    <w:rsid w:val="00D91B80"/>
    <w:rsid w:val="00D93B81"/>
    <w:rsid w:val="00D94643"/>
    <w:rsid w:val="00DA60D3"/>
    <w:rsid w:val="00DA6B12"/>
    <w:rsid w:val="00DA7E04"/>
    <w:rsid w:val="00DA7F42"/>
    <w:rsid w:val="00DB2C77"/>
    <w:rsid w:val="00DC28C1"/>
    <w:rsid w:val="00DC3BAB"/>
    <w:rsid w:val="00DC62EC"/>
    <w:rsid w:val="00DD3E0C"/>
    <w:rsid w:val="00DD48DE"/>
    <w:rsid w:val="00DE115A"/>
    <w:rsid w:val="00DE5845"/>
    <w:rsid w:val="00DF1FD4"/>
    <w:rsid w:val="00DF3660"/>
    <w:rsid w:val="00DF7DA8"/>
    <w:rsid w:val="00E030C9"/>
    <w:rsid w:val="00E03A65"/>
    <w:rsid w:val="00E04E15"/>
    <w:rsid w:val="00E07E04"/>
    <w:rsid w:val="00E10684"/>
    <w:rsid w:val="00E17FD3"/>
    <w:rsid w:val="00E22031"/>
    <w:rsid w:val="00E341F8"/>
    <w:rsid w:val="00E3585A"/>
    <w:rsid w:val="00E376FC"/>
    <w:rsid w:val="00E40A1F"/>
    <w:rsid w:val="00E44593"/>
    <w:rsid w:val="00E44C70"/>
    <w:rsid w:val="00E50997"/>
    <w:rsid w:val="00E53037"/>
    <w:rsid w:val="00E55CE0"/>
    <w:rsid w:val="00E569A6"/>
    <w:rsid w:val="00E63CAE"/>
    <w:rsid w:val="00E67018"/>
    <w:rsid w:val="00E73146"/>
    <w:rsid w:val="00E759EB"/>
    <w:rsid w:val="00E77A79"/>
    <w:rsid w:val="00E77CEA"/>
    <w:rsid w:val="00E77EA7"/>
    <w:rsid w:val="00E82057"/>
    <w:rsid w:val="00E91BBB"/>
    <w:rsid w:val="00E94121"/>
    <w:rsid w:val="00E963EB"/>
    <w:rsid w:val="00EA4D41"/>
    <w:rsid w:val="00EA5083"/>
    <w:rsid w:val="00EB02E0"/>
    <w:rsid w:val="00EB5E35"/>
    <w:rsid w:val="00EB7B65"/>
    <w:rsid w:val="00EC7B35"/>
    <w:rsid w:val="00ED0BE3"/>
    <w:rsid w:val="00ED2E9A"/>
    <w:rsid w:val="00ED6F92"/>
    <w:rsid w:val="00ED725B"/>
    <w:rsid w:val="00EE02D8"/>
    <w:rsid w:val="00EE5C05"/>
    <w:rsid w:val="00EF14BD"/>
    <w:rsid w:val="00EF532F"/>
    <w:rsid w:val="00F06388"/>
    <w:rsid w:val="00F063DA"/>
    <w:rsid w:val="00F14223"/>
    <w:rsid w:val="00F16690"/>
    <w:rsid w:val="00F171B4"/>
    <w:rsid w:val="00F20B2D"/>
    <w:rsid w:val="00F405AF"/>
    <w:rsid w:val="00F42233"/>
    <w:rsid w:val="00F426C7"/>
    <w:rsid w:val="00F46AC3"/>
    <w:rsid w:val="00F5143A"/>
    <w:rsid w:val="00F51651"/>
    <w:rsid w:val="00F5312F"/>
    <w:rsid w:val="00F5403C"/>
    <w:rsid w:val="00F547E7"/>
    <w:rsid w:val="00F616F8"/>
    <w:rsid w:val="00F62E9E"/>
    <w:rsid w:val="00F662AA"/>
    <w:rsid w:val="00F81935"/>
    <w:rsid w:val="00F82ECA"/>
    <w:rsid w:val="00F83735"/>
    <w:rsid w:val="00F84B13"/>
    <w:rsid w:val="00F963B0"/>
    <w:rsid w:val="00FA1B5F"/>
    <w:rsid w:val="00FA29E6"/>
    <w:rsid w:val="00FA6C50"/>
    <w:rsid w:val="00FC1834"/>
    <w:rsid w:val="00FC1C54"/>
    <w:rsid w:val="00FC4041"/>
    <w:rsid w:val="00FD09E3"/>
    <w:rsid w:val="00FD2C22"/>
    <w:rsid w:val="00FD4BA8"/>
    <w:rsid w:val="00FE17A4"/>
    <w:rsid w:val="00FE5CF0"/>
    <w:rsid w:val="00FE6546"/>
    <w:rsid w:val="00FF57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70D486"/>
  <w15:docId w15:val="{1709360E-6C80-4997-AE6D-2A20E3D121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45160"/>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1"/>
    <w:qFormat/>
    <w:rsid w:val="00174A6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
    <w:link w:val="21"/>
    <w:qFormat/>
    <w:rsid w:val="00174A69"/>
    <w:pPr>
      <w:numPr>
        <w:ilvl w:val="1"/>
        <w:numId w:val="1"/>
      </w:numPr>
      <w:tabs>
        <w:tab w:val="num" w:pos="397"/>
      </w:tabs>
      <w:spacing w:before="100" w:beforeAutospacing="1" w:afterLines="100" w:after="100"/>
      <w:ind w:left="0"/>
      <w:outlineLvl w:val="1"/>
    </w:pPr>
    <w:rPr>
      <w:rFonts w:ascii="Arial" w:eastAsia="Arial" w:hAnsi="Arial" w:cs="Times New Roman"/>
      <w:kern w:val="0"/>
      <w:sz w:val="32"/>
      <w:szCs w:val="20"/>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0"/>
    <w:qFormat/>
    <w:rsid w:val="00174A69"/>
    <w:pPr>
      <w:numPr>
        <w:ilvl w:val="2"/>
      </w:numPr>
      <w:tabs>
        <w:tab w:val="num" w:pos="681"/>
      </w:tabs>
      <w:spacing w:after="240"/>
      <w:outlineLvl w:val="2"/>
    </w:pPr>
    <w:rPr>
      <w:rFonts w:eastAsia="宋体"/>
      <w:sz w:val="28"/>
      <w:lang w:val="x-none" w:eastAsia="x-none"/>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0"/>
    <w:qFormat/>
    <w:rsid w:val="00174A69"/>
    <w:pPr>
      <w:numPr>
        <w:ilvl w:val="3"/>
      </w:numPr>
      <w:tabs>
        <w:tab w:val="num" w:pos="4083"/>
      </w:tabs>
      <w:outlineLvl w:val="3"/>
    </w:pPr>
    <w:rPr>
      <w:sz w:val="24"/>
    </w:rPr>
  </w:style>
  <w:style w:type="paragraph" w:styleId="6">
    <w:name w:val="heading 6"/>
    <w:aliases w:val="T1,Header 6"/>
    <w:basedOn w:val="a"/>
    <w:next w:val="a"/>
    <w:link w:val="60"/>
    <w:qFormat/>
    <w:rsid w:val="00174A69"/>
    <w:pPr>
      <w:numPr>
        <w:ilvl w:val="4"/>
        <w:numId w:val="1"/>
      </w:numPr>
      <w:overflowPunct/>
      <w:autoSpaceDE/>
      <w:autoSpaceDN/>
      <w:adjustRightInd/>
      <w:spacing w:before="100" w:beforeAutospacing="1" w:afterLines="100" w:after="240"/>
      <w:textAlignment w:val="auto"/>
      <w:outlineLvl w:val="5"/>
    </w:pPr>
    <w:rPr>
      <w:rFonts w:ascii="Arial" w:hAnsi="Arial"/>
      <w:lang w:val="x-none" w:eastAsia="x-none"/>
    </w:rPr>
  </w:style>
  <w:style w:type="paragraph" w:styleId="7">
    <w:name w:val="heading 7"/>
    <w:basedOn w:val="a"/>
    <w:next w:val="a"/>
    <w:link w:val="70"/>
    <w:qFormat/>
    <w:rsid w:val="00DE5845"/>
    <w:pPr>
      <w:keepNext/>
      <w:keepLines/>
      <w:overflowPunct/>
      <w:autoSpaceDE/>
      <w:autoSpaceDN/>
      <w:adjustRightInd/>
      <w:spacing w:before="120" w:line="259" w:lineRule="auto"/>
      <w:ind w:left="1296" w:hanging="1296"/>
      <w:textAlignment w:val="auto"/>
      <w:outlineLvl w:val="6"/>
    </w:pPr>
    <w:rPr>
      <w:rFonts w:ascii="Arial" w:hAnsi="Arial"/>
      <w:b/>
      <w:szCs w:val="18"/>
      <w:u w:val="single"/>
      <w:lang w:val="sv-SE"/>
    </w:rPr>
  </w:style>
  <w:style w:type="paragraph" w:styleId="8">
    <w:name w:val="heading 8"/>
    <w:basedOn w:val="1"/>
    <w:next w:val="a"/>
    <w:link w:val="80"/>
    <w:qFormat/>
    <w:rsid w:val="00174A69"/>
    <w:pPr>
      <w:ind w:left="0" w:firstLine="0"/>
      <w:outlineLvl w:val="7"/>
    </w:pPr>
  </w:style>
  <w:style w:type="paragraph" w:styleId="9">
    <w:name w:val="heading 9"/>
    <w:basedOn w:val="8"/>
    <w:next w:val="a"/>
    <w:link w:val="90"/>
    <w:qFormat/>
    <w:rsid w:val="00DE5845"/>
    <w:pPr>
      <w:numPr>
        <w:numId w:val="0"/>
      </w:numPr>
      <w:overflowPunct/>
      <w:autoSpaceDE/>
      <w:autoSpaceDN/>
      <w:adjustRightInd/>
      <w:spacing w:line="259" w:lineRule="auto"/>
      <w:ind w:left="1584" w:hanging="1584"/>
      <w:textAlignment w:val="auto"/>
      <w:outlineLvl w:val="8"/>
    </w:pPr>
    <w:rPr>
      <w:rFonts w:eastAsia="宋体"/>
      <w:lang w:val="sv-S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74A69"/>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174A69"/>
    <w:rPr>
      <w:sz w:val="18"/>
      <w:szCs w:val="18"/>
    </w:rPr>
  </w:style>
  <w:style w:type="paragraph" w:styleId="a5">
    <w:name w:val="footer"/>
    <w:basedOn w:val="a"/>
    <w:link w:val="a6"/>
    <w:unhideWhenUsed/>
    <w:rsid w:val="00174A69"/>
    <w:pPr>
      <w:tabs>
        <w:tab w:val="center" w:pos="4153"/>
        <w:tab w:val="right" w:pos="8306"/>
      </w:tabs>
      <w:snapToGrid w:val="0"/>
    </w:pPr>
    <w:rPr>
      <w:sz w:val="18"/>
      <w:szCs w:val="18"/>
    </w:rPr>
  </w:style>
  <w:style w:type="character" w:customStyle="1" w:styleId="a6">
    <w:name w:val="页脚 字符"/>
    <w:basedOn w:val="a0"/>
    <w:link w:val="a5"/>
    <w:uiPriority w:val="99"/>
    <w:rsid w:val="00174A69"/>
    <w:rPr>
      <w:sz w:val="18"/>
      <w:szCs w:val="18"/>
    </w:rPr>
  </w:style>
  <w:style w:type="character" w:customStyle="1" w:styleId="10">
    <w:name w:val="标题 1 字符"/>
    <w:basedOn w:val="a0"/>
    <w:uiPriority w:val="9"/>
    <w:rsid w:val="00174A69"/>
    <w:rPr>
      <w:rFonts w:ascii="Times New Roman" w:eastAsia="宋体" w:hAnsi="Times New Roman" w:cs="Times New Roman"/>
      <w:b/>
      <w:bCs/>
      <w:kern w:val="44"/>
      <w:sz w:val="44"/>
      <w:szCs w:val="44"/>
      <w:lang w:val="en-GB"/>
    </w:rPr>
  </w:style>
  <w:style w:type="character" w:customStyle="1" w:styleId="20">
    <w:name w:val="标题 2 字符"/>
    <w:basedOn w:val="a0"/>
    <w:uiPriority w:val="9"/>
    <w:semiHidden/>
    <w:rsid w:val="00174A69"/>
    <w:rPr>
      <w:rFonts w:asciiTheme="majorHAnsi" w:eastAsiaTheme="majorEastAsia" w:hAnsiTheme="majorHAnsi" w:cstheme="majorBidi"/>
      <w:b/>
      <w:bCs/>
      <w:kern w:val="0"/>
      <w:sz w:val="32"/>
      <w:szCs w:val="32"/>
      <w:lang w:val="en-GB"/>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0"/>
    <w:link w:val="3"/>
    <w:rsid w:val="00174A69"/>
    <w:rPr>
      <w:rFonts w:ascii="Arial" w:eastAsia="宋体" w:hAnsi="Arial" w:cs="Times New Roman"/>
      <w:kern w:val="0"/>
      <w:sz w:val="28"/>
      <w:szCs w:val="20"/>
      <w:lang w:val="x-none"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174A69"/>
    <w:rPr>
      <w:rFonts w:ascii="Arial" w:eastAsia="宋体" w:hAnsi="Arial" w:cs="Times New Roman"/>
      <w:kern w:val="0"/>
      <w:sz w:val="24"/>
      <w:szCs w:val="20"/>
      <w:lang w:val="x-none" w:eastAsia="x-none"/>
    </w:rPr>
  </w:style>
  <w:style w:type="character" w:customStyle="1" w:styleId="60">
    <w:name w:val="标题 6 字符"/>
    <w:aliases w:val="T1 字符,Header 6 字符"/>
    <w:basedOn w:val="a0"/>
    <w:link w:val="6"/>
    <w:rsid w:val="00174A69"/>
    <w:rPr>
      <w:rFonts w:ascii="Arial" w:eastAsia="宋体" w:hAnsi="Arial" w:cs="Times New Roman"/>
      <w:kern w:val="0"/>
      <w:sz w:val="20"/>
      <w:szCs w:val="20"/>
      <w:lang w:val="x-none" w:eastAsia="x-none"/>
    </w:rPr>
  </w:style>
  <w:style w:type="character" w:customStyle="1" w:styleId="80">
    <w:name w:val="标题 8 字符"/>
    <w:basedOn w:val="a0"/>
    <w:link w:val="8"/>
    <w:rsid w:val="00174A69"/>
    <w:rPr>
      <w:rFonts w:ascii="Arial" w:eastAsia="Arial" w:hAnsi="Arial" w:cs="Times New Roman"/>
      <w:kern w:val="0"/>
      <w:sz w:val="36"/>
      <w:szCs w:val="20"/>
      <w:lang w:val="en-GB" w:eastAsia="en-US"/>
    </w:rPr>
  </w:style>
  <w:style w:type="character" w:customStyle="1" w:styleId="11">
    <w:name w:val="标题 1 字符1"/>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174A69"/>
    <w:rPr>
      <w:rFonts w:ascii="Arial" w:eastAsia="Arial" w:hAnsi="Arial" w:cs="Times New Roman"/>
      <w:kern w:val="0"/>
      <w:sz w:val="36"/>
      <w:szCs w:val="20"/>
      <w:lang w:val="en-GB" w:eastAsia="en-US"/>
    </w:rPr>
  </w:style>
  <w:style w:type="character" w:customStyle="1" w:styleId="21">
    <w:name w:val="标题 2 字符1"/>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174A69"/>
    <w:rPr>
      <w:rFonts w:ascii="Arial" w:eastAsia="Arial" w:hAnsi="Arial" w:cs="Times New Roman"/>
      <w:kern w:val="0"/>
      <w:sz w:val="32"/>
      <w:szCs w:val="20"/>
      <w:lang w:val="en-GB" w:eastAsia="en-US"/>
    </w:rPr>
  </w:style>
  <w:style w:type="paragraph" w:customStyle="1" w:styleId="EQ">
    <w:name w:val="EQ"/>
    <w:basedOn w:val="a"/>
    <w:next w:val="a"/>
    <w:link w:val="EQChar"/>
    <w:rsid w:val="00174A69"/>
    <w:pPr>
      <w:keepLines/>
      <w:tabs>
        <w:tab w:val="center" w:pos="4536"/>
        <w:tab w:val="right" w:pos="9072"/>
      </w:tabs>
    </w:pPr>
    <w:rPr>
      <w:noProof/>
    </w:rPr>
  </w:style>
  <w:style w:type="paragraph" w:customStyle="1" w:styleId="TAH">
    <w:name w:val="TAH"/>
    <w:basedOn w:val="TAC"/>
    <w:link w:val="TAHCar"/>
    <w:uiPriority w:val="99"/>
    <w:qFormat/>
    <w:rsid w:val="00174A69"/>
    <w:rPr>
      <w:rFonts w:eastAsia="Times New Roman"/>
      <w:b/>
    </w:rPr>
  </w:style>
  <w:style w:type="paragraph" w:customStyle="1" w:styleId="TAC">
    <w:name w:val="TAC"/>
    <w:basedOn w:val="a"/>
    <w:link w:val="TACChar"/>
    <w:qFormat/>
    <w:rsid w:val="00174A69"/>
    <w:pPr>
      <w:keepNext/>
      <w:keepLines/>
      <w:spacing w:after="0"/>
      <w:jc w:val="center"/>
    </w:pPr>
    <w:rPr>
      <w:rFonts w:ascii="Arial" w:eastAsia="MS Mincho" w:hAnsi="Arial"/>
      <w:sz w:val="18"/>
      <w:lang w:eastAsia="en-US"/>
    </w:rPr>
  </w:style>
  <w:style w:type="character" w:customStyle="1" w:styleId="TACChar">
    <w:name w:val="TAC Char"/>
    <w:link w:val="TAC"/>
    <w:qFormat/>
    <w:rsid w:val="00174A69"/>
    <w:rPr>
      <w:rFonts w:ascii="Arial" w:eastAsia="MS Mincho" w:hAnsi="Arial" w:cs="Times New Roman"/>
      <w:kern w:val="0"/>
      <w:sz w:val="18"/>
      <w:szCs w:val="20"/>
      <w:lang w:val="en-GB" w:eastAsia="en-US"/>
    </w:rPr>
  </w:style>
  <w:style w:type="paragraph" w:customStyle="1" w:styleId="TH">
    <w:name w:val="TH"/>
    <w:basedOn w:val="a"/>
    <w:link w:val="THChar"/>
    <w:qFormat/>
    <w:rsid w:val="00174A69"/>
    <w:pPr>
      <w:keepNext/>
      <w:keepLines/>
      <w:spacing w:before="60"/>
      <w:jc w:val="center"/>
    </w:pPr>
    <w:rPr>
      <w:rFonts w:ascii="Arial" w:eastAsia="MS Mincho" w:hAnsi="Arial"/>
      <w:b/>
      <w:lang w:eastAsia="en-US"/>
    </w:rPr>
  </w:style>
  <w:style w:type="character" w:customStyle="1" w:styleId="THChar">
    <w:name w:val="TH Char"/>
    <w:link w:val="TH"/>
    <w:qFormat/>
    <w:rsid w:val="00174A69"/>
    <w:rPr>
      <w:rFonts w:ascii="Arial" w:eastAsia="MS Mincho" w:hAnsi="Arial" w:cs="Times New Roman"/>
      <w:b/>
      <w:kern w:val="0"/>
      <w:sz w:val="20"/>
      <w:szCs w:val="20"/>
      <w:lang w:val="en-GB" w:eastAsia="en-US"/>
    </w:rPr>
  </w:style>
  <w:style w:type="character" w:styleId="a7">
    <w:name w:val="Hyperlink"/>
    <w:rsid w:val="00174A69"/>
    <w:rPr>
      <w:color w:val="0000FF"/>
      <w:u w:val="single"/>
    </w:rPr>
  </w:style>
  <w:style w:type="character" w:customStyle="1" w:styleId="TAHCar">
    <w:name w:val="TAH Car"/>
    <w:link w:val="TAH"/>
    <w:uiPriority w:val="99"/>
    <w:qFormat/>
    <w:rsid w:val="00174A69"/>
    <w:rPr>
      <w:rFonts w:ascii="Arial" w:eastAsia="Times New Roman" w:hAnsi="Arial" w:cs="Times New Roman"/>
      <w:b/>
      <w:kern w:val="0"/>
      <w:sz w:val="18"/>
      <w:szCs w:val="20"/>
      <w:lang w:val="en-GB" w:eastAsia="en-US"/>
    </w:rPr>
  </w:style>
  <w:style w:type="paragraph" w:customStyle="1" w:styleId="CRCoverPage">
    <w:name w:val="CR Cover Page"/>
    <w:next w:val="a"/>
    <w:link w:val="CRCoverPageChar"/>
    <w:rsid w:val="00174A69"/>
    <w:pPr>
      <w:spacing w:after="120"/>
    </w:pPr>
    <w:rPr>
      <w:rFonts w:ascii="Arial" w:eastAsia="宋体" w:hAnsi="Arial" w:cs="Times New Roman"/>
      <w:kern w:val="0"/>
      <w:sz w:val="20"/>
      <w:szCs w:val="20"/>
      <w:lang w:val="en-GB" w:eastAsia="en-US"/>
    </w:rPr>
  </w:style>
  <w:style w:type="character" w:customStyle="1" w:styleId="CRCoverPageChar">
    <w:name w:val="CR Cover Page Char"/>
    <w:link w:val="CRCoverPage"/>
    <w:rsid w:val="00174A69"/>
    <w:rPr>
      <w:rFonts w:ascii="Arial" w:eastAsia="宋体" w:hAnsi="Arial" w:cs="Times New Roman"/>
      <w:kern w:val="0"/>
      <w:sz w:val="20"/>
      <w:szCs w:val="20"/>
      <w:lang w:val="en-GB" w:eastAsia="en-US"/>
    </w:rPr>
  </w:style>
  <w:style w:type="character" w:customStyle="1" w:styleId="EQChar">
    <w:name w:val="EQ Char"/>
    <w:link w:val="EQ"/>
    <w:rsid w:val="00174A69"/>
    <w:rPr>
      <w:rFonts w:ascii="Times New Roman" w:eastAsia="宋体" w:hAnsi="Times New Roman" w:cs="Times New Roman"/>
      <w:noProof/>
      <w:kern w:val="0"/>
      <w:sz w:val="20"/>
      <w:szCs w:val="20"/>
      <w:lang w:val="en-GB"/>
    </w:rPr>
  </w:style>
  <w:style w:type="paragraph" w:styleId="a8">
    <w:name w:val="List Paragraph"/>
    <w:aliases w:val="- Bullets,목록 단락,リスト段落,列出段落,Lista1,?? ??,?????,????,中等深浅网格 1 - 着色 21,¥¡¡¡¡ì¬º¥¹¥È¶ÎÂä,ÁÐ³ö¶ÎÂä,¥ê¥¹¥È¶ÎÂä,列表段落1,—ño’i—Ž,列出段落1,1st level - Bullet List Paragraph,Lettre d'introduction,Paragrafo elenco,Normal bullet 2,Bullet list,列表段落11,목록단락"/>
    <w:basedOn w:val="a"/>
    <w:link w:val="a9"/>
    <w:uiPriority w:val="34"/>
    <w:qFormat/>
    <w:rsid w:val="00060BAC"/>
    <w:pPr>
      <w:ind w:firstLineChars="200" w:firstLine="420"/>
    </w:pPr>
  </w:style>
  <w:style w:type="paragraph" w:styleId="aa">
    <w:name w:val="Balloon Text"/>
    <w:basedOn w:val="a"/>
    <w:link w:val="ab"/>
    <w:uiPriority w:val="99"/>
    <w:semiHidden/>
    <w:unhideWhenUsed/>
    <w:rsid w:val="00475AEF"/>
    <w:pPr>
      <w:spacing w:after="0"/>
    </w:pPr>
    <w:rPr>
      <w:sz w:val="18"/>
      <w:szCs w:val="18"/>
    </w:rPr>
  </w:style>
  <w:style w:type="character" w:customStyle="1" w:styleId="ab">
    <w:name w:val="批注框文本 字符"/>
    <w:basedOn w:val="a0"/>
    <w:link w:val="aa"/>
    <w:uiPriority w:val="99"/>
    <w:semiHidden/>
    <w:rsid w:val="00475AEF"/>
    <w:rPr>
      <w:rFonts w:ascii="Times New Roman" w:eastAsia="宋体" w:hAnsi="Times New Roman" w:cs="Times New Roman"/>
      <w:kern w:val="0"/>
      <w:sz w:val="18"/>
      <w:szCs w:val="18"/>
      <w:lang w:val="en-GB"/>
    </w:rPr>
  </w:style>
  <w:style w:type="paragraph" w:styleId="ac">
    <w:name w:val="annotation text"/>
    <w:basedOn w:val="a"/>
    <w:link w:val="ad"/>
    <w:uiPriority w:val="99"/>
    <w:semiHidden/>
    <w:unhideWhenUsed/>
    <w:rsid w:val="00732A53"/>
    <w:pPr>
      <w:overflowPunct/>
      <w:autoSpaceDE/>
      <w:autoSpaceDN/>
      <w:adjustRightInd/>
      <w:spacing w:before="120" w:after="0"/>
      <w:textAlignment w:val="auto"/>
    </w:pPr>
    <w:rPr>
      <w:rFonts w:eastAsia="MS Mincho"/>
      <w:lang w:eastAsia="en-US"/>
    </w:rPr>
  </w:style>
  <w:style w:type="character" w:customStyle="1" w:styleId="ad">
    <w:name w:val="批注文字 字符"/>
    <w:basedOn w:val="a0"/>
    <w:link w:val="ac"/>
    <w:uiPriority w:val="99"/>
    <w:semiHidden/>
    <w:rsid w:val="00732A53"/>
    <w:rPr>
      <w:rFonts w:ascii="Times New Roman" w:eastAsia="MS Mincho" w:hAnsi="Times New Roman" w:cs="Times New Roman"/>
      <w:kern w:val="0"/>
      <w:sz w:val="20"/>
      <w:szCs w:val="20"/>
      <w:lang w:val="en-GB" w:eastAsia="en-US"/>
    </w:rPr>
  </w:style>
  <w:style w:type="character" w:customStyle="1" w:styleId="TANChar">
    <w:name w:val="TAN Char"/>
    <w:link w:val="TAN"/>
    <w:qFormat/>
    <w:locked/>
    <w:rsid w:val="00732A53"/>
    <w:rPr>
      <w:rFonts w:ascii="Arial" w:hAnsi="Arial" w:cs="Arial"/>
      <w:sz w:val="18"/>
      <w:lang w:eastAsia="en-US"/>
    </w:rPr>
  </w:style>
  <w:style w:type="paragraph" w:customStyle="1" w:styleId="TAN">
    <w:name w:val="TAN"/>
    <w:basedOn w:val="a"/>
    <w:link w:val="TANChar"/>
    <w:qFormat/>
    <w:rsid w:val="00732A53"/>
    <w:pPr>
      <w:keepNext/>
      <w:keepLines/>
      <w:overflowPunct/>
      <w:autoSpaceDE/>
      <w:autoSpaceDN/>
      <w:adjustRightInd/>
      <w:spacing w:after="0"/>
      <w:ind w:left="851" w:hanging="851"/>
      <w:textAlignment w:val="auto"/>
    </w:pPr>
    <w:rPr>
      <w:rFonts w:ascii="Arial" w:eastAsiaTheme="minorEastAsia" w:hAnsi="Arial" w:cs="Arial"/>
      <w:kern w:val="2"/>
      <w:sz w:val="18"/>
      <w:szCs w:val="22"/>
      <w:lang w:val="en-US" w:eastAsia="en-US"/>
    </w:rPr>
  </w:style>
  <w:style w:type="character" w:styleId="ae">
    <w:name w:val="annotation reference"/>
    <w:semiHidden/>
    <w:unhideWhenUsed/>
    <w:qFormat/>
    <w:rsid w:val="00732A53"/>
    <w:rPr>
      <w:sz w:val="16"/>
    </w:rPr>
  </w:style>
  <w:style w:type="table" w:styleId="af">
    <w:name w:val="Table Grid"/>
    <w:basedOn w:val="a1"/>
    <w:qFormat/>
    <w:rsid w:val="00E963E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列表段落 字符"/>
    <w:aliases w:val="- Bullets 字符,목록 단락 字符,リスト段落 字符,列出段落 字符,Lista1 字符,?? ?? 字符,????? 字符,???? 字符,中等深浅网格 1 - 着色 21 字符,¥¡¡¡¡ì¬º¥¹¥È¶ÎÂä 字符,ÁÐ³ö¶ÎÂä 字符,¥ê¥¹¥È¶ÎÂä 字符,列表段落1 字符,—ño’i—Ž 字符,列出段落1 字符,1st level - Bullet List Paragraph 字符,Lettre d'introduction 字符,列表段落11 字符"/>
    <w:link w:val="a8"/>
    <w:uiPriority w:val="34"/>
    <w:qFormat/>
    <w:locked/>
    <w:rsid w:val="00C173EC"/>
    <w:rPr>
      <w:rFonts w:ascii="Times New Roman" w:eastAsia="宋体" w:hAnsi="Times New Roman" w:cs="Times New Roman"/>
      <w:kern w:val="0"/>
      <w:sz w:val="20"/>
      <w:szCs w:val="20"/>
      <w:lang w:val="en-GB"/>
    </w:rPr>
  </w:style>
  <w:style w:type="paragraph" w:customStyle="1" w:styleId="TAL">
    <w:name w:val="TAL"/>
    <w:basedOn w:val="a"/>
    <w:link w:val="TALChar"/>
    <w:qFormat/>
    <w:rsid w:val="00A3701F"/>
    <w:pPr>
      <w:keepNext/>
      <w:keepLines/>
      <w:overflowPunct/>
      <w:autoSpaceDE/>
      <w:autoSpaceDN/>
      <w:adjustRightInd/>
      <w:spacing w:after="0"/>
      <w:textAlignment w:val="auto"/>
    </w:pPr>
    <w:rPr>
      <w:rFonts w:ascii="Arial" w:hAnsi="Arial"/>
      <w:sz w:val="18"/>
      <w:lang w:eastAsia="en-US"/>
    </w:rPr>
  </w:style>
  <w:style w:type="paragraph" w:customStyle="1" w:styleId="B1">
    <w:name w:val="B1"/>
    <w:basedOn w:val="a"/>
    <w:link w:val="B1Zchn"/>
    <w:qFormat/>
    <w:rsid w:val="00A3701F"/>
    <w:pPr>
      <w:overflowPunct/>
      <w:autoSpaceDE/>
      <w:autoSpaceDN/>
      <w:adjustRightInd/>
      <w:ind w:left="568" w:hanging="284"/>
      <w:textAlignment w:val="auto"/>
    </w:pPr>
    <w:rPr>
      <w:lang w:eastAsia="en-US"/>
    </w:rPr>
  </w:style>
  <w:style w:type="paragraph" w:styleId="af0">
    <w:name w:val="Date"/>
    <w:basedOn w:val="a"/>
    <w:next w:val="a"/>
    <w:link w:val="af1"/>
    <w:uiPriority w:val="99"/>
    <w:semiHidden/>
    <w:unhideWhenUsed/>
    <w:rsid w:val="005A6816"/>
    <w:pPr>
      <w:ind w:leftChars="2500" w:left="100"/>
    </w:pPr>
  </w:style>
  <w:style w:type="character" w:customStyle="1" w:styleId="af1">
    <w:name w:val="日期 字符"/>
    <w:basedOn w:val="a0"/>
    <w:link w:val="af0"/>
    <w:uiPriority w:val="99"/>
    <w:semiHidden/>
    <w:rsid w:val="005A6816"/>
    <w:rPr>
      <w:rFonts w:ascii="Times New Roman" w:eastAsia="宋体" w:hAnsi="Times New Roman" w:cs="Times New Roman"/>
      <w:kern w:val="0"/>
      <w:sz w:val="20"/>
      <w:szCs w:val="20"/>
      <w:lang w:val="en-GB"/>
    </w:rPr>
  </w:style>
  <w:style w:type="character" w:customStyle="1" w:styleId="B1Zchn">
    <w:name w:val="B1 Zchn"/>
    <w:link w:val="B1"/>
    <w:qFormat/>
    <w:rsid w:val="001C15D8"/>
    <w:rPr>
      <w:rFonts w:ascii="Times New Roman" w:eastAsia="宋体" w:hAnsi="Times New Roman" w:cs="Times New Roman"/>
      <w:kern w:val="0"/>
      <w:sz w:val="20"/>
      <w:szCs w:val="20"/>
      <w:lang w:val="en-GB" w:eastAsia="en-US"/>
    </w:rPr>
  </w:style>
  <w:style w:type="paragraph" w:styleId="af2">
    <w:name w:val="Body Text"/>
    <w:basedOn w:val="a"/>
    <w:link w:val="af3"/>
    <w:rsid w:val="00311086"/>
    <w:pPr>
      <w:overflowPunct/>
      <w:autoSpaceDE/>
      <w:autoSpaceDN/>
      <w:adjustRightInd/>
      <w:spacing w:after="120"/>
      <w:textAlignment w:val="auto"/>
    </w:pPr>
    <w:rPr>
      <w:lang w:eastAsia="en-US"/>
    </w:rPr>
  </w:style>
  <w:style w:type="character" w:customStyle="1" w:styleId="af3">
    <w:name w:val="正文文本 字符"/>
    <w:basedOn w:val="a0"/>
    <w:link w:val="af2"/>
    <w:rsid w:val="00311086"/>
    <w:rPr>
      <w:rFonts w:ascii="Times New Roman" w:eastAsia="宋体" w:hAnsi="Times New Roman" w:cs="Times New Roman"/>
      <w:kern w:val="0"/>
      <w:sz w:val="20"/>
      <w:szCs w:val="20"/>
      <w:lang w:val="en-GB" w:eastAsia="en-US"/>
    </w:rPr>
  </w:style>
  <w:style w:type="character" w:customStyle="1" w:styleId="B1Char">
    <w:name w:val="B1 Char"/>
    <w:qFormat/>
    <w:rsid w:val="004B6D49"/>
    <w:rPr>
      <w:rFonts w:ascii="Times New Roman" w:eastAsia="宋体" w:hAnsi="Times New Roman" w:cs="Times New Roman"/>
      <w:kern w:val="0"/>
      <w:sz w:val="20"/>
      <w:szCs w:val="20"/>
      <w:lang w:val="en-GB" w:eastAsia="en-US"/>
    </w:rPr>
  </w:style>
  <w:style w:type="character" w:customStyle="1" w:styleId="TALChar">
    <w:name w:val="TAL Char"/>
    <w:link w:val="TAL"/>
    <w:rsid w:val="004B6D49"/>
    <w:rPr>
      <w:rFonts w:ascii="Arial" w:eastAsia="宋体" w:hAnsi="Arial" w:cs="Times New Roman"/>
      <w:kern w:val="0"/>
      <w:sz w:val="18"/>
      <w:szCs w:val="20"/>
      <w:lang w:val="en-GB" w:eastAsia="en-US"/>
    </w:rPr>
  </w:style>
  <w:style w:type="paragraph" w:customStyle="1" w:styleId="B2">
    <w:name w:val="B2"/>
    <w:basedOn w:val="a"/>
    <w:qFormat/>
    <w:rsid w:val="004B6D49"/>
    <w:pPr>
      <w:overflowPunct/>
      <w:autoSpaceDE/>
      <w:autoSpaceDN/>
      <w:adjustRightInd/>
      <w:ind w:left="851" w:hanging="284"/>
      <w:textAlignment w:val="auto"/>
    </w:pPr>
    <w:rPr>
      <w:lang w:eastAsia="en-US"/>
    </w:rPr>
  </w:style>
  <w:style w:type="character" w:customStyle="1" w:styleId="70">
    <w:name w:val="标题 7 字符"/>
    <w:basedOn w:val="a0"/>
    <w:link w:val="7"/>
    <w:rsid w:val="00DE5845"/>
    <w:rPr>
      <w:rFonts w:ascii="Arial" w:eastAsia="宋体" w:hAnsi="Arial" w:cs="Times New Roman"/>
      <w:b/>
      <w:kern w:val="0"/>
      <w:sz w:val="20"/>
      <w:szCs w:val="18"/>
      <w:u w:val="single"/>
      <w:lang w:val="sv-SE"/>
    </w:rPr>
  </w:style>
  <w:style w:type="character" w:customStyle="1" w:styleId="90">
    <w:name w:val="标题 9 字符"/>
    <w:basedOn w:val="a0"/>
    <w:link w:val="9"/>
    <w:rsid w:val="00DE5845"/>
    <w:rPr>
      <w:rFonts w:ascii="Arial" w:eastAsia="宋体" w:hAnsi="Arial" w:cs="Times New Roman"/>
      <w:kern w:val="0"/>
      <w:sz w:val="36"/>
      <w:szCs w:val="20"/>
      <w:lang w:val="sv-SE" w:eastAsia="en-US"/>
    </w:rPr>
  </w:style>
  <w:style w:type="character" w:customStyle="1" w:styleId="TALCar">
    <w:name w:val="TAL Car"/>
    <w:basedOn w:val="a0"/>
    <w:qFormat/>
    <w:locked/>
    <w:rsid w:val="00E44C70"/>
    <w:rPr>
      <w:rFonts w:ascii="Arial" w:eastAsiaTheme="minorEastAsia" w:hAnsi="Arial"/>
      <w:sz w:val="18"/>
      <w:lang w:val="en-GB" w:eastAsia="en-US"/>
    </w:rPr>
  </w:style>
  <w:style w:type="paragraph" w:customStyle="1" w:styleId="TableText">
    <w:name w:val="Table_Text"/>
    <w:basedOn w:val="a"/>
    <w:uiPriority w:val="99"/>
    <w:qFormat/>
    <w:rsid w:val="00E44C70"/>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table" w:customStyle="1" w:styleId="TableGrid41">
    <w:name w:val="Table Grid41"/>
    <w:basedOn w:val="a1"/>
    <w:next w:val="af"/>
    <w:uiPriority w:val="39"/>
    <w:qFormat/>
    <w:rsid w:val="003B371A"/>
    <w:pPr>
      <w:overflowPunct w:val="0"/>
      <w:autoSpaceDE w:val="0"/>
      <w:autoSpaceDN w:val="0"/>
      <w:adjustRightInd w:val="0"/>
      <w:spacing w:after="180" w:line="259" w:lineRule="auto"/>
      <w:textAlignment w:val="baseline"/>
    </w:pPr>
    <w:rPr>
      <w:rFonts w:ascii="Times New Roman" w:eastAsia="Yu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
    <w:uiPriority w:val="39"/>
    <w:qFormat/>
    <w:rsid w:val="003B371A"/>
    <w:pPr>
      <w:overflowPunct w:val="0"/>
      <w:autoSpaceDE w:val="0"/>
      <w:autoSpaceDN w:val="0"/>
      <w:adjustRightInd w:val="0"/>
      <w:spacing w:after="180" w:line="259" w:lineRule="auto"/>
      <w:textAlignment w:val="baseline"/>
    </w:pPr>
    <w:rPr>
      <w:rFonts w:ascii="Times New Roman" w:eastAsia="Yu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FD09E3"/>
    <w:pPr>
      <w:overflowPunct w:val="0"/>
      <w:autoSpaceDE w:val="0"/>
      <w:autoSpaceDN w:val="0"/>
      <w:adjustRightInd w:val="0"/>
      <w:spacing w:after="180" w:line="256" w:lineRule="auto"/>
    </w:pPr>
    <w:rPr>
      <w:rFonts w:ascii="Times New Roman" w:eastAsia="Yu Mincho" w:hAnsi="Times New Roman" w:cs="Times New Roman"/>
      <w:kern w:val="0"/>
      <w:sz w:val="2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675885">
      <w:bodyDiv w:val="1"/>
      <w:marLeft w:val="0"/>
      <w:marRight w:val="0"/>
      <w:marTop w:val="0"/>
      <w:marBottom w:val="0"/>
      <w:divBdr>
        <w:top w:val="none" w:sz="0" w:space="0" w:color="auto"/>
        <w:left w:val="none" w:sz="0" w:space="0" w:color="auto"/>
        <w:bottom w:val="none" w:sz="0" w:space="0" w:color="auto"/>
        <w:right w:val="none" w:sz="0" w:space="0" w:color="auto"/>
      </w:divBdr>
    </w:div>
    <w:div w:id="79102854">
      <w:bodyDiv w:val="1"/>
      <w:marLeft w:val="0"/>
      <w:marRight w:val="0"/>
      <w:marTop w:val="0"/>
      <w:marBottom w:val="0"/>
      <w:divBdr>
        <w:top w:val="none" w:sz="0" w:space="0" w:color="auto"/>
        <w:left w:val="none" w:sz="0" w:space="0" w:color="auto"/>
        <w:bottom w:val="none" w:sz="0" w:space="0" w:color="auto"/>
        <w:right w:val="none" w:sz="0" w:space="0" w:color="auto"/>
      </w:divBdr>
    </w:div>
    <w:div w:id="114523300">
      <w:bodyDiv w:val="1"/>
      <w:marLeft w:val="0"/>
      <w:marRight w:val="0"/>
      <w:marTop w:val="0"/>
      <w:marBottom w:val="0"/>
      <w:divBdr>
        <w:top w:val="none" w:sz="0" w:space="0" w:color="auto"/>
        <w:left w:val="none" w:sz="0" w:space="0" w:color="auto"/>
        <w:bottom w:val="none" w:sz="0" w:space="0" w:color="auto"/>
        <w:right w:val="none" w:sz="0" w:space="0" w:color="auto"/>
      </w:divBdr>
    </w:div>
    <w:div w:id="181477237">
      <w:bodyDiv w:val="1"/>
      <w:marLeft w:val="0"/>
      <w:marRight w:val="0"/>
      <w:marTop w:val="0"/>
      <w:marBottom w:val="0"/>
      <w:divBdr>
        <w:top w:val="none" w:sz="0" w:space="0" w:color="auto"/>
        <w:left w:val="none" w:sz="0" w:space="0" w:color="auto"/>
        <w:bottom w:val="none" w:sz="0" w:space="0" w:color="auto"/>
        <w:right w:val="none" w:sz="0" w:space="0" w:color="auto"/>
      </w:divBdr>
    </w:div>
    <w:div w:id="299531445">
      <w:bodyDiv w:val="1"/>
      <w:marLeft w:val="0"/>
      <w:marRight w:val="0"/>
      <w:marTop w:val="0"/>
      <w:marBottom w:val="0"/>
      <w:divBdr>
        <w:top w:val="none" w:sz="0" w:space="0" w:color="auto"/>
        <w:left w:val="none" w:sz="0" w:space="0" w:color="auto"/>
        <w:bottom w:val="none" w:sz="0" w:space="0" w:color="auto"/>
        <w:right w:val="none" w:sz="0" w:space="0" w:color="auto"/>
      </w:divBdr>
    </w:div>
    <w:div w:id="303437234">
      <w:bodyDiv w:val="1"/>
      <w:marLeft w:val="0"/>
      <w:marRight w:val="0"/>
      <w:marTop w:val="0"/>
      <w:marBottom w:val="0"/>
      <w:divBdr>
        <w:top w:val="none" w:sz="0" w:space="0" w:color="auto"/>
        <w:left w:val="none" w:sz="0" w:space="0" w:color="auto"/>
        <w:bottom w:val="none" w:sz="0" w:space="0" w:color="auto"/>
        <w:right w:val="none" w:sz="0" w:space="0" w:color="auto"/>
      </w:divBdr>
    </w:div>
    <w:div w:id="500698771">
      <w:bodyDiv w:val="1"/>
      <w:marLeft w:val="0"/>
      <w:marRight w:val="0"/>
      <w:marTop w:val="0"/>
      <w:marBottom w:val="0"/>
      <w:divBdr>
        <w:top w:val="none" w:sz="0" w:space="0" w:color="auto"/>
        <w:left w:val="none" w:sz="0" w:space="0" w:color="auto"/>
        <w:bottom w:val="none" w:sz="0" w:space="0" w:color="auto"/>
        <w:right w:val="none" w:sz="0" w:space="0" w:color="auto"/>
      </w:divBdr>
    </w:div>
    <w:div w:id="551036531">
      <w:bodyDiv w:val="1"/>
      <w:marLeft w:val="0"/>
      <w:marRight w:val="0"/>
      <w:marTop w:val="0"/>
      <w:marBottom w:val="0"/>
      <w:divBdr>
        <w:top w:val="none" w:sz="0" w:space="0" w:color="auto"/>
        <w:left w:val="none" w:sz="0" w:space="0" w:color="auto"/>
        <w:bottom w:val="none" w:sz="0" w:space="0" w:color="auto"/>
        <w:right w:val="none" w:sz="0" w:space="0" w:color="auto"/>
      </w:divBdr>
    </w:div>
    <w:div w:id="553540505">
      <w:bodyDiv w:val="1"/>
      <w:marLeft w:val="0"/>
      <w:marRight w:val="0"/>
      <w:marTop w:val="0"/>
      <w:marBottom w:val="0"/>
      <w:divBdr>
        <w:top w:val="none" w:sz="0" w:space="0" w:color="auto"/>
        <w:left w:val="none" w:sz="0" w:space="0" w:color="auto"/>
        <w:bottom w:val="none" w:sz="0" w:space="0" w:color="auto"/>
        <w:right w:val="none" w:sz="0" w:space="0" w:color="auto"/>
      </w:divBdr>
    </w:div>
    <w:div w:id="604583513">
      <w:bodyDiv w:val="1"/>
      <w:marLeft w:val="0"/>
      <w:marRight w:val="0"/>
      <w:marTop w:val="0"/>
      <w:marBottom w:val="0"/>
      <w:divBdr>
        <w:top w:val="none" w:sz="0" w:space="0" w:color="auto"/>
        <w:left w:val="none" w:sz="0" w:space="0" w:color="auto"/>
        <w:bottom w:val="none" w:sz="0" w:space="0" w:color="auto"/>
        <w:right w:val="none" w:sz="0" w:space="0" w:color="auto"/>
      </w:divBdr>
    </w:div>
    <w:div w:id="754060571">
      <w:bodyDiv w:val="1"/>
      <w:marLeft w:val="0"/>
      <w:marRight w:val="0"/>
      <w:marTop w:val="0"/>
      <w:marBottom w:val="0"/>
      <w:divBdr>
        <w:top w:val="none" w:sz="0" w:space="0" w:color="auto"/>
        <w:left w:val="none" w:sz="0" w:space="0" w:color="auto"/>
        <w:bottom w:val="none" w:sz="0" w:space="0" w:color="auto"/>
        <w:right w:val="none" w:sz="0" w:space="0" w:color="auto"/>
      </w:divBdr>
    </w:div>
    <w:div w:id="806049655">
      <w:bodyDiv w:val="1"/>
      <w:marLeft w:val="0"/>
      <w:marRight w:val="0"/>
      <w:marTop w:val="0"/>
      <w:marBottom w:val="0"/>
      <w:divBdr>
        <w:top w:val="none" w:sz="0" w:space="0" w:color="auto"/>
        <w:left w:val="none" w:sz="0" w:space="0" w:color="auto"/>
        <w:bottom w:val="none" w:sz="0" w:space="0" w:color="auto"/>
        <w:right w:val="none" w:sz="0" w:space="0" w:color="auto"/>
      </w:divBdr>
    </w:div>
    <w:div w:id="848838615">
      <w:bodyDiv w:val="1"/>
      <w:marLeft w:val="0"/>
      <w:marRight w:val="0"/>
      <w:marTop w:val="0"/>
      <w:marBottom w:val="0"/>
      <w:divBdr>
        <w:top w:val="none" w:sz="0" w:space="0" w:color="auto"/>
        <w:left w:val="none" w:sz="0" w:space="0" w:color="auto"/>
        <w:bottom w:val="none" w:sz="0" w:space="0" w:color="auto"/>
        <w:right w:val="none" w:sz="0" w:space="0" w:color="auto"/>
      </w:divBdr>
    </w:div>
    <w:div w:id="850799458">
      <w:bodyDiv w:val="1"/>
      <w:marLeft w:val="0"/>
      <w:marRight w:val="0"/>
      <w:marTop w:val="0"/>
      <w:marBottom w:val="0"/>
      <w:divBdr>
        <w:top w:val="none" w:sz="0" w:space="0" w:color="auto"/>
        <w:left w:val="none" w:sz="0" w:space="0" w:color="auto"/>
        <w:bottom w:val="none" w:sz="0" w:space="0" w:color="auto"/>
        <w:right w:val="none" w:sz="0" w:space="0" w:color="auto"/>
      </w:divBdr>
    </w:div>
    <w:div w:id="868225105">
      <w:bodyDiv w:val="1"/>
      <w:marLeft w:val="0"/>
      <w:marRight w:val="0"/>
      <w:marTop w:val="0"/>
      <w:marBottom w:val="0"/>
      <w:divBdr>
        <w:top w:val="none" w:sz="0" w:space="0" w:color="auto"/>
        <w:left w:val="none" w:sz="0" w:space="0" w:color="auto"/>
        <w:bottom w:val="none" w:sz="0" w:space="0" w:color="auto"/>
        <w:right w:val="none" w:sz="0" w:space="0" w:color="auto"/>
      </w:divBdr>
    </w:div>
    <w:div w:id="891845406">
      <w:bodyDiv w:val="1"/>
      <w:marLeft w:val="0"/>
      <w:marRight w:val="0"/>
      <w:marTop w:val="0"/>
      <w:marBottom w:val="0"/>
      <w:divBdr>
        <w:top w:val="none" w:sz="0" w:space="0" w:color="auto"/>
        <w:left w:val="none" w:sz="0" w:space="0" w:color="auto"/>
        <w:bottom w:val="none" w:sz="0" w:space="0" w:color="auto"/>
        <w:right w:val="none" w:sz="0" w:space="0" w:color="auto"/>
      </w:divBdr>
    </w:div>
    <w:div w:id="910311376">
      <w:bodyDiv w:val="1"/>
      <w:marLeft w:val="0"/>
      <w:marRight w:val="0"/>
      <w:marTop w:val="0"/>
      <w:marBottom w:val="0"/>
      <w:divBdr>
        <w:top w:val="none" w:sz="0" w:space="0" w:color="auto"/>
        <w:left w:val="none" w:sz="0" w:space="0" w:color="auto"/>
        <w:bottom w:val="none" w:sz="0" w:space="0" w:color="auto"/>
        <w:right w:val="none" w:sz="0" w:space="0" w:color="auto"/>
      </w:divBdr>
    </w:div>
    <w:div w:id="950748769">
      <w:bodyDiv w:val="1"/>
      <w:marLeft w:val="0"/>
      <w:marRight w:val="0"/>
      <w:marTop w:val="0"/>
      <w:marBottom w:val="0"/>
      <w:divBdr>
        <w:top w:val="none" w:sz="0" w:space="0" w:color="auto"/>
        <w:left w:val="none" w:sz="0" w:space="0" w:color="auto"/>
        <w:bottom w:val="none" w:sz="0" w:space="0" w:color="auto"/>
        <w:right w:val="none" w:sz="0" w:space="0" w:color="auto"/>
      </w:divBdr>
    </w:div>
    <w:div w:id="977494293">
      <w:bodyDiv w:val="1"/>
      <w:marLeft w:val="0"/>
      <w:marRight w:val="0"/>
      <w:marTop w:val="0"/>
      <w:marBottom w:val="0"/>
      <w:divBdr>
        <w:top w:val="none" w:sz="0" w:space="0" w:color="auto"/>
        <w:left w:val="none" w:sz="0" w:space="0" w:color="auto"/>
        <w:bottom w:val="none" w:sz="0" w:space="0" w:color="auto"/>
        <w:right w:val="none" w:sz="0" w:space="0" w:color="auto"/>
      </w:divBdr>
    </w:div>
    <w:div w:id="1089890517">
      <w:bodyDiv w:val="1"/>
      <w:marLeft w:val="0"/>
      <w:marRight w:val="0"/>
      <w:marTop w:val="0"/>
      <w:marBottom w:val="0"/>
      <w:divBdr>
        <w:top w:val="none" w:sz="0" w:space="0" w:color="auto"/>
        <w:left w:val="none" w:sz="0" w:space="0" w:color="auto"/>
        <w:bottom w:val="none" w:sz="0" w:space="0" w:color="auto"/>
        <w:right w:val="none" w:sz="0" w:space="0" w:color="auto"/>
      </w:divBdr>
    </w:div>
    <w:div w:id="1100373593">
      <w:bodyDiv w:val="1"/>
      <w:marLeft w:val="0"/>
      <w:marRight w:val="0"/>
      <w:marTop w:val="0"/>
      <w:marBottom w:val="0"/>
      <w:divBdr>
        <w:top w:val="none" w:sz="0" w:space="0" w:color="auto"/>
        <w:left w:val="none" w:sz="0" w:space="0" w:color="auto"/>
        <w:bottom w:val="none" w:sz="0" w:space="0" w:color="auto"/>
        <w:right w:val="none" w:sz="0" w:space="0" w:color="auto"/>
      </w:divBdr>
      <w:divsChild>
        <w:div w:id="394824">
          <w:marLeft w:val="1800"/>
          <w:marRight w:val="0"/>
          <w:marTop w:val="100"/>
          <w:marBottom w:val="0"/>
          <w:divBdr>
            <w:top w:val="none" w:sz="0" w:space="0" w:color="auto"/>
            <w:left w:val="none" w:sz="0" w:space="0" w:color="auto"/>
            <w:bottom w:val="none" w:sz="0" w:space="0" w:color="auto"/>
            <w:right w:val="none" w:sz="0" w:space="0" w:color="auto"/>
          </w:divBdr>
        </w:div>
        <w:div w:id="662054243">
          <w:marLeft w:val="1800"/>
          <w:marRight w:val="0"/>
          <w:marTop w:val="100"/>
          <w:marBottom w:val="0"/>
          <w:divBdr>
            <w:top w:val="none" w:sz="0" w:space="0" w:color="auto"/>
            <w:left w:val="none" w:sz="0" w:space="0" w:color="auto"/>
            <w:bottom w:val="none" w:sz="0" w:space="0" w:color="auto"/>
            <w:right w:val="none" w:sz="0" w:space="0" w:color="auto"/>
          </w:divBdr>
        </w:div>
        <w:div w:id="1410037030">
          <w:marLeft w:val="1080"/>
          <w:marRight w:val="0"/>
          <w:marTop w:val="100"/>
          <w:marBottom w:val="0"/>
          <w:divBdr>
            <w:top w:val="none" w:sz="0" w:space="0" w:color="auto"/>
            <w:left w:val="none" w:sz="0" w:space="0" w:color="auto"/>
            <w:bottom w:val="none" w:sz="0" w:space="0" w:color="auto"/>
            <w:right w:val="none" w:sz="0" w:space="0" w:color="auto"/>
          </w:divBdr>
        </w:div>
        <w:div w:id="1487551617">
          <w:marLeft w:val="1080"/>
          <w:marRight w:val="0"/>
          <w:marTop w:val="100"/>
          <w:marBottom w:val="0"/>
          <w:divBdr>
            <w:top w:val="none" w:sz="0" w:space="0" w:color="auto"/>
            <w:left w:val="none" w:sz="0" w:space="0" w:color="auto"/>
            <w:bottom w:val="none" w:sz="0" w:space="0" w:color="auto"/>
            <w:right w:val="none" w:sz="0" w:space="0" w:color="auto"/>
          </w:divBdr>
        </w:div>
        <w:div w:id="1537741918">
          <w:marLeft w:val="360"/>
          <w:marRight w:val="0"/>
          <w:marTop w:val="200"/>
          <w:marBottom w:val="0"/>
          <w:divBdr>
            <w:top w:val="none" w:sz="0" w:space="0" w:color="auto"/>
            <w:left w:val="none" w:sz="0" w:space="0" w:color="auto"/>
            <w:bottom w:val="none" w:sz="0" w:space="0" w:color="auto"/>
            <w:right w:val="none" w:sz="0" w:space="0" w:color="auto"/>
          </w:divBdr>
        </w:div>
        <w:div w:id="1581909836">
          <w:marLeft w:val="1080"/>
          <w:marRight w:val="0"/>
          <w:marTop w:val="100"/>
          <w:marBottom w:val="0"/>
          <w:divBdr>
            <w:top w:val="none" w:sz="0" w:space="0" w:color="auto"/>
            <w:left w:val="none" w:sz="0" w:space="0" w:color="auto"/>
            <w:bottom w:val="none" w:sz="0" w:space="0" w:color="auto"/>
            <w:right w:val="none" w:sz="0" w:space="0" w:color="auto"/>
          </w:divBdr>
        </w:div>
        <w:div w:id="1925606729">
          <w:marLeft w:val="1800"/>
          <w:marRight w:val="0"/>
          <w:marTop w:val="100"/>
          <w:marBottom w:val="0"/>
          <w:divBdr>
            <w:top w:val="none" w:sz="0" w:space="0" w:color="auto"/>
            <w:left w:val="none" w:sz="0" w:space="0" w:color="auto"/>
            <w:bottom w:val="none" w:sz="0" w:space="0" w:color="auto"/>
            <w:right w:val="none" w:sz="0" w:space="0" w:color="auto"/>
          </w:divBdr>
        </w:div>
        <w:div w:id="2104178466">
          <w:marLeft w:val="1080"/>
          <w:marRight w:val="0"/>
          <w:marTop w:val="100"/>
          <w:marBottom w:val="0"/>
          <w:divBdr>
            <w:top w:val="none" w:sz="0" w:space="0" w:color="auto"/>
            <w:left w:val="none" w:sz="0" w:space="0" w:color="auto"/>
            <w:bottom w:val="none" w:sz="0" w:space="0" w:color="auto"/>
            <w:right w:val="none" w:sz="0" w:space="0" w:color="auto"/>
          </w:divBdr>
        </w:div>
      </w:divsChild>
    </w:div>
    <w:div w:id="1219319591">
      <w:bodyDiv w:val="1"/>
      <w:marLeft w:val="0"/>
      <w:marRight w:val="0"/>
      <w:marTop w:val="0"/>
      <w:marBottom w:val="0"/>
      <w:divBdr>
        <w:top w:val="none" w:sz="0" w:space="0" w:color="auto"/>
        <w:left w:val="none" w:sz="0" w:space="0" w:color="auto"/>
        <w:bottom w:val="none" w:sz="0" w:space="0" w:color="auto"/>
        <w:right w:val="none" w:sz="0" w:space="0" w:color="auto"/>
      </w:divBdr>
      <w:divsChild>
        <w:div w:id="1028028189">
          <w:marLeft w:val="547"/>
          <w:marRight w:val="0"/>
          <w:marTop w:val="120"/>
          <w:marBottom w:val="0"/>
          <w:divBdr>
            <w:top w:val="none" w:sz="0" w:space="0" w:color="auto"/>
            <w:left w:val="none" w:sz="0" w:space="0" w:color="auto"/>
            <w:bottom w:val="none" w:sz="0" w:space="0" w:color="auto"/>
            <w:right w:val="none" w:sz="0" w:space="0" w:color="auto"/>
          </w:divBdr>
        </w:div>
      </w:divsChild>
    </w:div>
    <w:div w:id="1245723511">
      <w:bodyDiv w:val="1"/>
      <w:marLeft w:val="0"/>
      <w:marRight w:val="0"/>
      <w:marTop w:val="0"/>
      <w:marBottom w:val="0"/>
      <w:divBdr>
        <w:top w:val="none" w:sz="0" w:space="0" w:color="auto"/>
        <w:left w:val="none" w:sz="0" w:space="0" w:color="auto"/>
        <w:bottom w:val="none" w:sz="0" w:space="0" w:color="auto"/>
        <w:right w:val="none" w:sz="0" w:space="0" w:color="auto"/>
      </w:divBdr>
      <w:divsChild>
        <w:div w:id="14812024">
          <w:marLeft w:val="1800"/>
          <w:marRight w:val="0"/>
          <w:marTop w:val="100"/>
          <w:marBottom w:val="0"/>
          <w:divBdr>
            <w:top w:val="none" w:sz="0" w:space="0" w:color="auto"/>
            <w:left w:val="none" w:sz="0" w:space="0" w:color="auto"/>
            <w:bottom w:val="none" w:sz="0" w:space="0" w:color="auto"/>
            <w:right w:val="none" w:sz="0" w:space="0" w:color="auto"/>
          </w:divBdr>
        </w:div>
        <w:div w:id="506673311">
          <w:marLeft w:val="1080"/>
          <w:marRight w:val="0"/>
          <w:marTop w:val="100"/>
          <w:marBottom w:val="0"/>
          <w:divBdr>
            <w:top w:val="none" w:sz="0" w:space="0" w:color="auto"/>
            <w:left w:val="none" w:sz="0" w:space="0" w:color="auto"/>
            <w:bottom w:val="none" w:sz="0" w:space="0" w:color="auto"/>
            <w:right w:val="none" w:sz="0" w:space="0" w:color="auto"/>
          </w:divBdr>
        </w:div>
        <w:div w:id="762148719">
          <w:marLeft w:val="1080"/>
          <w:marRight w:val="0"/>
          <w:marTop w:val="100"/>
          <w:marBottom w:val="0"/>
          <w:divBdr>
            <w:top w:val="none" w:sz="0" w:space="0" w:color="auto"/>
            <w:left w:val="none" w:sz="0" w:space="0" w:color="auto"/>
            <w:bottom w:val="none" w:sz="0" w:space="0" w:color="auto"/>
            <w:right w:val="none" w:sz="0" w:space="0" w:color="auto"/>
          </w:divBdr>
        </w:div>
        <w:div w:id="1540312584">
          <w:marLeft w:val="360"/>
          <w:marRight w:val="0"/>
          <w:marTop w:val="200"/>
          <w:marBottom w:val="0"/>
          <w:divBdr>
            <w:top w:val="none" w:sz="0" w:space="0" w:color="auto"/>
            <w:left w:val="none" w:sz="0" w:space="0" w:color="auto"/>
            <w:bottom w:val="none" w:sz="0" w:space="0" w:color="auto"/>
            <w:right w:val="none" w:sz="0" w:space="0" w:color="auto"/>
          </w:divBdr>
        </w:div>
        <w:div w:id="1604876530">
          <w:marLeft w:val="1080"/>
          <w:marRight w:val="0"/>
          <w:marTop w:val="100"/>
          <w:marBottom w:val="0"/>
          <w:divBdr>
            <w:top w:val="none" w:sz="0" w:space="0" w:color="auto"/>
            <w:left w:val="none" w:sz="0" w:space="0" w:color="auto"/>
            <w:bottom w:val="none" w:sz="0" w:space="0" w:color="auto"/>
            <w:right w:val="none" w:sz="0" w:space="0" w:color="auto"/>
          </w:divBdr>
        </w:div>
        <w:div w:id="1644893478">
          <w:marLeft w:val="1800"/>
          <w:marRight w:val="0"/>
          <w:marTop w:val="100"/>
          <w:marBottom w:val="0"/>
          <w:divBdr>
            <w:top w:val="none" w:sz="0" w:space="0" w:color="auto"/>
            <w:left w:val="none" w:sz="0" w:space="0" w:color="auto"/>
            <w:bottom w:val="none" w:sz="0" w:space="0" w:color="auto"/>
            <w:right w:val="none" w:sz="0" w:space="0" w:color="auto"/>
          </w:divBdr>
        </w:div>
        <w:div w:id="1713650242">
          <w:marLeft w:val="1080"/>
          <w:marRight w:val="0"/>
          <w:marTop w:val="100"/>
          <w:marBottom w:val="0"/>
          <w:divBdr>
            <w:top w:val="none" w:sz="0" w:space="0" w:color="auto"/>
            <w:left w:val="none" w:sz="0" w:space="0" w:color="auto"/>
            <w:bottom w:val="none" w:sz="0" w:space="0" w:color="auto"/>
            <w:right w:val="none" w:sz="0" w:space="0" w:color="auto"/>
          </w:divBdr>
        </w:div>
        <w:div w:id="2080516474">
          <w:marLeft w:val="1800"/>
          <w:marRight w:val="0"/>
          <w:marTop w:val="100"/>
          <w:marBottom w:val="0"/>
          <w:divBdr>
            <w:top w:val="none" w:sz="0" w:space="0" w:color="auto"/>
            <w:left w:val="none" w:sz="0" w:space="0" w:color="auto"/>
            <w:bottom w:val="none" w:sz="0" w:space="0" w:color="auto"/>
            <w:right w:val="none" w:sz="0" w:space="0" w:color="auto"/>
          </w:divBdr>
        </w:div>
      </w:divsChild>
    </w:div>
    <w:div w:id="1320115352">
      <w:bodyDiv w:val="1"/>
      <w:marLeft w:val="0"/>
      <w:marRight w:val="0"/>
      <w:marTop w:val="0"/>
      <w:marBottom w:val="0"/>
      <w:divBdr>
        <w:top w:val="none" w:sz="0" w:space="0" w:color="auto"/>
        <w:left w:val="none" w:sz="0" w:space="0" w:color="auto"/>
        <w:bottom w:val="none" w:sz="0" w:space="0" w:color="auto"/>
        <w:right w:val="none" w:sz="0" w:space="0" w:color="auto"/>
      </w:divBdr>
    </w:div>
    <w:div w:id="1327398829">
      <w:bodyDiv w:val="1"/>
      <w:marLeft w:val="0"/>
      <w:marRight w:val="0"/>
      <w:marTop w:val="0"/>
      <w:marBottom w:val="0"/>
      <w:divBdr>
        <w:top w:val="none" w:sz="0" w:space="0" w:color="auto"/>
        <w:left w:val="none" w:sz="0" w:space="0" w:color="auto"/>
        <w:bottom w:val="none" w:sz="0" w:space="0" w:color="auto"/>
        <w:right w:val="none" w:sz="0" w:space="0" w:color="auto"/>
      </w:divBdr>
    </w:div>
    <w:div w:id="1408647863">
      <w:bodyDiv w:val="1"/>
      <w:marLeft w:val="0"/>
      <w:marRight w:val="0"/>
      <w:marTop w:val="0"/>
      <w:marBottom w:val="0"/>
      <w:divBdr>
        <w:top w:val="none" w:sz="0" w:space="0" w:color="auto"/>
        <w:left w:val="none" w:sz="0" w:space="0" w:color="auto"/>
        <w:bottom w:val="none" w:sz="0" w:space="0" w:color="auto"/>
        <w:right w:val="none" w:sz="0" w:space="0" w:color="auto"/>
      </w:divBdr>
    </w:div>
    <w:div w:id="1417480310">
      <w:bodyDiv w:val="1"/>
      <w:marLeft w:val="0"/>
      <w:marRight w:val="0"/>
      <w:marTop w:val="0"/>
      <w:marBottom w:val="0"/>
      <w:divBdr>
        <w:top w:val="none" w:sz="0" w:space="0" w:color="auto"/>
        <w:left w:val="none" w:sz="0" w:space="0" w:color="auto"/>
        <w:bottom w:val="none" w:sz="0" w:space="0" w:color="auto"/>
        <w:right w:val="none" w:sz="0" w:space="0" w:color="auto"/>
      </w:divBdr>
    </w:div>
    <w:div w:id="1463646892">
      <w:bodyDiv w:val="1"/>
      <w:marLeft w:val="0"/>
      <w:marRight w:val="0"/>
      <w:marTop w:val="0"/>
      <w:marBottom w:val="0"/>
      <w:divBdr>
        <w:top w:val="none" w:sz="0" w:space="0" w:color="auto"/>
        <w:left w:val="none" w:sz="0" w:space="0" w:color="auto"/>
        <w:bottom w:val="none" w:sz="0" w:space="0" w:color="auto"/>
        <w:right w:val="none" w:sz="0" w:space="0" w:color="auto"/>
      </w:divBdr>
    </w:div>
    <w:div w:id="1496797010">
      <w:bodyDiv w:val="1"/>
      <w:marLeft w:val="0"/>
      <w:marRight w:val="0"/>
      <w:marTop w:val="0"/>
      <w:marBottom w:val="0"/>
      <w:divBdr>
        <w:top w:val="none" w:sz="0" w:space="0" w:color="auto"/>
        <w:left w:val="none" w:sz="0" w:space="0" w:color="auto"/>
        <w:bottom w:val="none" w:sz="0" w:space="0" w:color="auto"/>
        <w:right w:val="none" w:sz="0" w:space="0" w:color="auto"/>
      </w:divBdr>
    </w:div>
    <w:div w:id="1634172156">
      <w:bodyDiv w:val="1"/>
      <w:marLeft w:val="0"/>
      <w:marRight w:val="0"/>
      <w:marTop w:val="0"/>
      <w:marBottom w:val="0"/>
      <w:divBdr>
        <w:top w:val="none" w:sz="0" w:space="0" w:color="auto"/>
        <w:left w:val="none" w:sz="0" w:space="0" w:color="auto"/>
        <w:bottom w:val="none" w:sz="0" w:space="0" w:color="auto"/>
        <w:right w:val="none" w:sz="0" w:space="0" w:color="auto"/>
      </w:divBdr>
    </w:div>
    <w:div w:id="1637947819">
      <w:bodyDiv w:val="1"/>
      <w:marLeft w:val="0"/>
      <w:marRight w:val="0"/>
      <w:marTop w:val="0"/>
      <w:marBottom w:val="0"/>
      <w:divBdr>
        <w:top w:val="none" w:sz="0" w:space="0" w:color="auto"/>
        <w:left w:val="none" w:sz="0" w:space="0" w:color="auto"/>
        <w:bottom w:val="none" w:sz="0" w:space="0" w:color="auto"/>
        <w:right w:val="none" w:sz="0" w:space="0" w:color="auto"/>
      </w:divBdr>
    </w:div>
    <w:div w:id="1652976496">
      <w:bodyDiv w:val="1"/>
      <w:marLeft w:val="0"/>
      <w:marRight w:val="0"/>
      <w:marTop w:val="0"/>
      <w:marBottom w:val="0"/>
      <w:divBdr>
        <w:top w:val="none" w:sz="0" w:space="0" w:color="auto"/>
        <w:left w:val="none" w:sz="0" w:space="0" w:color="auto"/>
        <w:bottom w:val="none" w:sz="0" w:space="0" w:color="auto"/>
        <w:right w:val="none" w:sz="0" w:space="0" w:color="auto"/>
      </w:divBdr>
    </w:div>
    <w:div w:id="1666863001">
      <w:bodyDiv w:val="1"/>
      <w:marLeft w:val="0"/>
      <w:marRight w:val="0"/>
      <w:marTop w:val="0"/>
      <w:marBottom w:val="0"/>
      <w:divBdr>
        <w:top w:val="none" w:sz="0" w:space="0" w:color="auto"/>
        <w:left w:val="none" w:sz="0" w:space="0" w:color="auto"/>
        <w:bottom w:val="none" w:sz="0" w:space="0" w:color="auto"/>
        <w:right w:val="none" w:sz="0" w:space="0" w:color="auto"/>
      </w:divBdr>
    </w:div>
    <w:div w:id="1778989970">
      <w:bodyDiv w:val="1"/>
      <w:marLeft w:val="0"/>
      <w:marRight w:val="0"/>
      <w:marTop w:val="0"/>
      <w:marBottom w:val="0"/>
      <w:divBdr>
        <w:top w:val="none" w:sz="0" w:space="0" w:color="auto"/>
        <w:left w:val="none" w:sz="0" w:space="0" w:color="auto"/>
        <w:bottom w:val="none" w:sz="0" w:space="0" w:color="auto"/>
        <w:right w:val="none" w:sz="0" w:space="0" w:color="auto"/>
      </w:divBdr>
    </w:div>
    <w:div w:id="1809740659">
      <w:bodyDiv w:val="1"/>
      <w:marLeft w:val="0"/>
      <w:marRight w:val="0"/>
      <w:marTop w:val="0"/>
      <w:marBottom w:val="0"/>
      <w:divBdr>
        <w:top w:val="none" w:sz="0" w:space="0" w:color="auto"/>
        <w:left w:val="none" w:sz="0" w:space="0" w:color="auto"/>
        <w:bottom w:val="none" w:sz="0" w:space="0" w:color="auto"/>
        <w:right w:val="none" w:sz="0" w:space="0" w:color="auto"/>
      </w:divBdr>
      <w:divsChild>
        <w:div w:id="51081304">
          <w:marLeft w:val="1800"/>
          <w:marRight w:val="0"/>
          <w:marTop w:val="100"/>
          <w:marBottom w:val="0"/>
          <w:divBdr>
            <w:top w:val="none" w:sz="0" w:space="0" w:color="auto"/>
            <w:left w:val="none" w:sz="0" w:space="0" w:color="auto"/>
            <w:bottom w:val="none" w:sz="0" w:space="0" w:color="auto"/>
            <w:right w:val="none" w:sz="0" w:space="0" w:color="auto"/>
          </w:divBdr>
        </w:div>
        <w:div w:id="340164137">
          <w:marLeft w:val="1080"/>
          <w:marRight w:val="0"/>
          <w:marTop w:val="100"/>
          <w:marBottom w:val="0"/>
          <w:divBdr>
            <w:top w:val="none" w:sz="0" w:space="0" w:color="auto"/>
            <w:left w:val="none" w:sz="0" w:space="0" w:color="auto"/>
            <w:bottom w:val="none" w:sz="0" w:space="0" w:color="auto"/>
            <w:right w:val="none" w:sz="0" w:space="0" w:color="auto"/>
          </w:divBdr>
        </w:div>
        <w:div w:id="366101634">
          <w:marLeft w:val="1080"/>
          <w:marRight w:val="0"/>
          <w:marTop w:val="100"/>
          <w:marBottom w:val="0"/>
          <w:divBdr>
            <w:top w:val="none" w:sz="0" w:space="0" w:color="auto"/>
            <w:left w:val="none" w:sz="0" w:space="0" w:color="auto"/>
            <w:bottom w:val="none" w:sz="0" w:space="0" w:color="auto"/>
            <w:right w:val="none" w:sz="0" w:space="0" w:color="auto"/>
          </w:divBdr>
        </w:div>
        <w:div w:id="1039433277">
          <w:marLeft w:val="360"/>
          <w:marRight w:val="0"/>
          <w:marTop w:val="200"/>
          <w:marBottom w:val="0"/>
          <w:divBdr>
            <w:top w:val="none" w:sz="0" w:space="0" w:color="auto"/>
            <w:left w:val="none" w:sz="0" w:space="0" w:color="auto"/>
            <w:bottom w:val="none" w:sz="0" w:space="0" w:color="auto"/>
            <w:right w:val="none" w:sz="0" w:space="0" w:color="auto"/>
          </w:divBdr>
        </w:div>
        <w:div w:id="1143079677">
          <w:marLeft w:val="1800"/>
          <w:marRight w:val="0"/>
          <w:marTop w:val="100"/>
          <w:marBottom w:val="0"/>
          <w:divBdr>
            <w:top w:val="none" w:sz="0" w:space="0" w:color="auto"/>
            <w:left w:val="none" w:sz="0" w:space="0" w:color="auto"/>
            <w:bottom w:val="none" w:sz="0" w:space="0" w:color="auto"/>
            <w:right w:val="none" w:sz="0" w:space="0" w:color="auto"/>
          </w:divBdr>
        </w:div>
        <w:div w:id="1288395391">
          <w:marLeft w:val="1800"/>
          <w:marRight w:val="0"/>
          <w:marTop w:val="100"/>
          <w:marBottom w:val="0"/>
          <w:divBdr>
            <w:top w:val="none" w:sz="0" w:space="0" w:color="auto"/>
            <w:left w:val="none" w:sz="0" w:space="0" w:color="auto"/>
            <w:bottom w:val="none" w:sz="0" w:space="0" w:color="auto"/>
            <w:right w:val="none" w:sz="0" w:space="0" w:color="auto"/>
          </w:divBdr>
        </w:div>
        <w:div w:id="1459300624">
          <w:marLeft w:val="1080"/>
          <w:marRight w:val="0"/>
          <w:marTop w:val="100"/>
          <w:marBottom w:val="0"/>
          <w:divBdr>
            <w:top w:val="none" w:sz="0" w:space="0" w:color="auto"/>
            <w:left w:val="none" w:sz="0" w:space="0" w:color="auto"/>
            <w:bottom w:val="none" w:sz="0" w:space="0" w:color="auto"/>
            <w:right w:val="none" w:sz="0" w:space="0" w:color="auto"/>
          </w:divBdr>
        </w:div>
        <w:div w:id="2138257893">
          <w:marLeft w:val="1080"/>
          <w:marRight w:val="0"/>
          <w:marTop w:val="100"/>
          <w:marBottom w:val="0"/>
          <w:divBdr>
            <w:top w:val="none" w:sz="0" w:space="0" w:color="auto"/>
            <w:left w:val="none" w:sz="0" w:space="0" w:color="auto"/>
            <w:bottom w:val="none" w:sz="0" w:space="0" w:color="auto"/>
            <w:right w:val="none" w:sz="0" w:space="0" w:color="auto"/>
          </w:divBdr>
        </w:div>
      </w:divsChild>
    </w:div>
    <w:div w:id="1849249488">
      <w:bodyDiv w:val="1"/>
      <w:marLeft w:val="0"/>
      <w:marRight w:val="0"/>
      <w:marTop w:val="0"/>
      <w:marBottom w:val="0"/>
      <w:divBdr>
        <w:top w:val="none" w:sz="0" w:space="0" w:color="auto"/>
        <w:left w:val="none" w:sz="0" w:space="0" w:color="auto"/>
        <w:bottom w:val="none" w:sz="0" w:space="0" w:color="auto"/>
        <w:right w:val="none" w:sz="0" w:space="0" w:color="auto"/>
      </w:divBdr>
    </w:div>
    <w:div w:id="1851143911">
      <w:bodyDiv w:val="1"/>
      <w:marLeft w:val="0"/>
      <w:marRight w:val="0"/>
      <w:marTop w:val="0"/>
      <w:marBottom w:val="0"/>
      <w:divBdr>
        <w:top w:val="none" w:sz="0" w:space="0" w:color="auto"/>
        <w:left w:val="none" w:sz="0" w:space="0" w:color="auto"/>
        <w:bottom w:val="none" w:sz="0" w:space="0" w:color="auto"/>
        <w:right w:val="none" w:sz="0" w:space="0" w:color="auto"/>
      </w:divBdr>
    </w:div>
    <w:div w:id="1863787381">
      <w:bodyDiv w:val="1"/>
      <w:marLeft w:val="0"/>
      <w:marRight w:val="0"/>
      <w:marTop w:val="0"/>
      <w:marBottom w:val="0"/>
      <w:divBdr>
        <w:top w:val="none" w:sz="0" w:space="0" w:color="auto"/>
        <w:left w:val="none" w:sz="0" w:space="0" w:color="auto"/>
        <w:bottom w:val="none" w:sz="0" w:space="0" w:color="auto"/>
        <w:right w:val="none" w:sz="0" w:space="0" w:color="auto"/>
      </w:divBdr>
    </w:div>
    <w:div w:id="1898783309">
      <w:bodyDiv w:val="1"/>
      <w:marLeft w:val="0"/>
      <w:marRight w:val="0"/>
      <w:marTop w:val="0"/>
      <w:marBottom w:val="0"/>
      <w:divBdr>
        <w:top w:val="none" w:sz="0" w:space="0" w:color="auto"/>
        <w:left w:val="none" w:sz="0" w:space="0" w:color="auto"/>
        <w:bottom w:val="none" w:sz="0" w:space="0" w:color="auto"/>
        <w:right w:val="none" w:sz="0" w:space="0" w:color="auto"/>
      </w:divBdr>
    </w:div>
    <w:div w:id="1984112396">
      <w:bodyDiv w:val="1"/>
      <w:marLeft w:val="0"/>
      <w:marRight w:val="0"/>
      <w:marTop w:val="0"/>
      <w:marBottom w:val="0"/>
      <w:divBdr>
        <w:top w:val="none" w:sz="0" w:space="0" w:color="auto"/>
        <w:left w:val="none" w:sz="0" w:space="0" w:color="auto"/>
        <w:bottom w:val="none" w:sz="0" w:space="0" w:color="auto"/>
        <w:right w:val="none" w:sz="0" w:space="0" w:color="auto"/>
      </w:divBdr>
    </w:div>
    <w:div w:id="211401354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10C408-5E3E-468C-8B0D-5E5B820BB5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534</TotalTime>
  <Pages>4</Pages>
  <Words>1099</Words>
  <Characters>6270</Characters>
  <Application>Microsoft Office Word</Application>
  <DocSecurity>0</DocSecurity>
  <Lines>52</Lines>
  <Paragraphs>14</Paragraphs>
  <ScaleCrop>false</ScaleCrop>
  <Company/>
  <LinksUpToDate>false</LinksUpToDate>
  <CharactersWithSpaces>7355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渠文宽</dc:creator>
  <cp:keywords/>
  <dc:description/>
  <cp:lastModifiedBy>vivo</cp:lastModifiedBy>
  <cp:revision>39</cp:revision>
  <dcterms:created xsi:type="dcterms:W3CDTF">2022-03-24T02:12:00Z</dcterms:created>
  <dcterms:modified xsi:type="dcterms:W3CDTF">2022-08-10T13:30:00Z</dcterms:modified>
</cp:coreProperties>
</file>